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B5A80" w14:textId="77777777" w:rsidR="003A13BA" w:rsidRPr="002F2656" w:rsidRDefault="00784DB9" w:rsidP="002F2656">
      <w:pPr>
        <w:jc w:val="both"/>
        <w:rPr>
          <w:rFonts w:ascii="Book Antiqua" w:hAnsi="Book Antiqua"/>
          <w:b/>
          <w:bCs/>
          <w:sz w:val="22"/>
          <w:szCs w:val="22"/>
        </w:rPr>
      </w:pPr>
      <w:r w:rsidRPr="002F2656">
        <w:rPr>
          <w:rFonts w:ascii="Book Antiqua" w:hAnsi="Book Antiqua"/>
          <w:b/>
          <w:bCs/>
          <w:color w:val="666666"/>
          <w:sz w:val="22"/>
          <w:szCs w:val="22"/>
        </w:rPr>
        <w:t>UNIVERSITÉ DE CAEN NORMANDIE</w:t>
      </w:r>
    </w:p>
    <w:p w14:paraId="7E0BA522" w14:textId="77777777" w:rsidR="003A13BA" w:rsidRPr="002F2656" w:rsidRDefault="00784DB9" w:rsidP="002F2656">
      <w:pPr>
        <w:jc w:val="both"/>
        <w:rPr>
          <w:rFonts w:ascii="Book Antiqua" w:hAnsi="Book Antiqua"/>
          <w:b/>
          <w:bCs/>
          <w:sz w:val="22"/>
          <w:szCs w:val="22"/>
        </w:rPr>
      </w:pPr>
      <w:proofErr w:type="spellStart"/>
      <w:r w:rsidRPr="002F2656">
        <w:rPr>
          <w:rFonts w:ascii="Book Antiqua" w:hAnsi="Book Antiqua"/>
          <w:b/>
          <w:bCs/>
          <w:i/>
          <w:iCs/>
          <w:color w:val="666666"/>
          <w:sz w:val="22"/>
          <w:szCs w:val="22"/>
        </w:rPr>
        <w:t>CaeSAR</w:t>
      </w:r>
      <w:proofErr w:type="spellEnd"/>
      <w:r w:rsidRPr="002F2656">
        <w:rPr>
          <w:rFonts w:ascii="Book Antiqua" w:hAnsi="Book Antiqua"/>
          <w:b/>
          <w:bCs/>
          <w:i/>
          <w:iCs/>
          <w:color w:val="666666"/>
          <w:sz w:val="22"/>
          <w:szCs w:val="22"/>
        </w:rPr>
        <w:t xml:space="preserve"> — Caen Stratégie pour l'Accélération en Recherche · </w:t>
      </w:r>
      <w:proofErr w:type="spellStart"/>
      <w:r w:rsidRPr="002F2656">
        <w:rPr>
          <w:rFonts w:ascii="Book Antiqua" w:hAnsi="Book Antiqua"/>
          <w:b/>
          <w:bCs/>
          <w:i/>
          <w:iCs/>
          <w:color w:val="666666"/>
          <w:sz w:val="22"/>
          <w:szCs w:val="22"/>
        </w:rPr>
        <w:t>ExcellencES</w:t>
      </w:r>
      <w:proofErr w:type="spellEnd"/>
      <w:r w:rsidRPr="002F2656">
        <w:rPr>
          <w:rFonts w:ascii="Book Antiqua" w:hAnsi="Book Antiqua"/>
          <w:b/>
          <w:bCs/>
          <w:i/>
          <w:iCs/>
          <w:color w:val="666666"/>
          <w:sz w:val="22"/>
          <w:szCs w:val="22"/>
        </w:rPr>
        <w:t xml:space="preserve"> · France 2030</w:t>
      </w:r>
    </w:p>
    <w:p w14:paraId="4415B88D" w14:textId="77777777" w:rsidR="0040479F" w:rsidRPr="002F2656" w:rsidRDefault="0040479F" w:rsidP="002F2656">
      <w:pPr>
        <w:jc w:val="both"/>
        <w:rPr>
          <w:rFonts w:ascii="Book Antiqua" w:hAnsi="Book Antiqua"/>
          <w:sz w:val="22"/>
          <w:szCs w:val="22"/>
        </w:rPr>
      </w:pPr>
    </w:p>
    <w:p w14:paraId="1FCAFD61" w14:textId="336851C5" w:rsidR="003A13BA" w:rsidRPr="00772E58" w:rsidRDefault="00784DB9" w:rsidP="00A10DD7">
      <w:pPr>
        <w:jc w:val="center"/>
        <w:rPr>
          <w:rFonts w:ascii="Book Antiqua" w:hAnsi="Book Antiqua"/>
          <w:b/>
          <w:bCs/>
          <w:sz w:val="28"/>
          <w:szCs w:val="28"/>
        </w:rPr>
      </w:pPr>
      <w:r w:rsidRPr="00772E58">
        <w:rPr>
          <w:rFonts w:ascii="Book Antiqua" w:hAnsi="Book Antiqua"/>
          <w:b/>
          <w:bCs/>
          <w:sz w:val="28"/>
          <w:szCs w:val="28"/>
        </w:rPr>
        <w:t>Appel à candidature</w:t>
      </w:r>
    </w:p>
    <w:p w14:paraId="49674363" w14:textId="77777777" w:rsidR="003A13BA" w:rsidRPr="00772E58" w:rsidRDefault="00784DB9" w:rsidP="00A10DD7">
      <w:pPr>
        <w:jc w:val="center"/>
        <w:rPr>
          <w:rFonts w:ascii="Book Antiqua" w:hAnsi="Book Antiqua"/>
          <w:b/>
          <w:bCs/>
          <w:sz w:val="28"/>
          <w:szCs w:val="28"/>
        </w:rPr>
      </w:pPr>
      <w:r w:rsidRPr="00772E58">
        <w:rPr>
          <w:rFonts w:ascii="Book Antiqua" w:hAnsi="Book Antiqua"/>
          <w:b/>
          <w:bCs/>
          <w:sz w:val="28"/>
          <w:szCs w:val="28"/>
        </w:rPr>
        <w:t>Contrat Doctoral (36 mois)</w:t>
      </w:r>
    </w:p>
    <w:p w14:paraId="1990FBF1" w14:textId="77777777" w:rsidR="003A13BA" w:rsidRPr="00772E58" w:rsidRDefault="00784DB9" w:rsidP="00A10DD7">
      <w:pPr>
        <w:jc w:val="center"/>
        <w:rPr>
          <w:rFonts w:ascii="Book Antiqua" w:hAnsi="Book Antiqua"/>
          <w:b/>
          <w:bCs/>
          <w:i/>
          <w:iCs/>
          <w:sz w:val="28"/>
          <w:szCs w:val="28"/>
        </w:rPr>
      </w:pPr>
      <w:r w:rsidRPr="00772E58">
        <w:rPr>
          <w:rFonts w:ascii="Book Antiqua" w:hAnsi="Book Antiqua"/>
          <w:b/>
          <w:bCs/>
          <w:i/>
          <w:iCs/>
          <w:sz w:val="28"/>
          <w:szCs w:val="28"/>
        </w:rPr>
        <w:t>Projet ENSOHM 39-45+</w:t>
      </w:r>
    </w:p>
    <w:p w14:paraId="7EE5375C" w14:textId="77777777" w:rsidR="00A10DD7" w:rsidRPr="002F2656" w:rsidRDefault="00A10DD7" w:rsidP="00A10DD7">
      <w:pPr>
        <w:jc w:val="center"/>
        <w:rPr>
          <w:rFonts w:ascii="Book Antiqua" w:hAnsi="Book Antiqua"/>
          <w:b/>
          <w:bCs/>
          <w:sz w:val="28"/>
          <w:szCs w:val="28"/>
        </w:rPr>
      </w:pPr>
    </w:p>
    <w:p w14:paraId="6A1E1142" w14:textId="02BD991D" w:rsidR="003A13BA" w:rsidRPr="002F2656" w:rsidRDefault="00784DB9" w:rsidP="00A10DD7">
      <w:pPr>
        <w:jc w:val="center"/>
        <w:rPr>
          <w:rFonts w:ascii="Book Antiqua" w:hAnsi="Book Antiqua"/>
          <w:b/>
          <w:bCs/>
          <w:sz w:val="28"/>
          <w:szCs w:val="28"/>
        </w:rPr>
      </w:pPr>
      <w:r w:rsidRPr="002F2656">
        <w:rPr>
          <w:rFonts w:ascii="Book Antiqua" w:hAnsi="Book Antiqua"/>
          <w:b/>
          <w:bCs/>
          <w:sz w:val="28"/>
          <w:szCs w:val="28"/>
        </w:rPr>
        <w:t>« Déplacements forcés et migrations en Normandie</w:t>
      </w:r>
      <w:r w:rsidR="00FA137B" w:rsidRPr="002F2656">
        <w:rPr>
          <w:rFonts w:ascii="Book Antiqua" w:hAnsi="Book Antiqua"/>
          <w:b/>
          <w:bCs/>
          <w:sz w:val="28"/>
          <w:szCs w:val="28"/>
        </w:rPr>
        <w:t> :</w:t>
      </w:r>
      <w:r w:rsidRPr="002F2656">
        <w:rPr>
          <w:rFonts w:ascii="Book Antiqua" w:hAnsi="Book Antiqua"/>
          <w:b/>
          <w:bCs/>
          <w:sz w:val="28"/>
          <w:szCs w:val="28"/>
        </w:rPr>
        <w:t xml:space="preserve"> </w:t>
      </w:r>
      <w:r w:rsidR="00FA137B" w:rsidRPr="002F2656">
        <w:rPr>
          <w:rFonts w:ascii="Book Antiqua" w:hAnsi="Book Antiqua"/>
          <w:b/>
          <w:bCs/>
          <w:sz w:val="28"/>
          <w:szCs w:val="28"/>
        </w:rPr>
        <w:t xml:space="preserve">circulations, </w:t>
      </w:r>
      <w:r w:rsidRPr="002F2656">
        <w:rPr>
          <w:rFonts w:ascii="Book Antiqua" w:hAnsi="Book Antiqua"/>
          <w:b/>
          <w:bCs/>
          <w:sz w:val="28"/>
          <w:szCs w:val="28"/>
        </w:rPr>
        <w:t>r</w:t>
      </w:r>
      <w:r w:rsidR="00977B83" w:rsidRPr="002F2656">
        <w:rPr>
          <w:rFonts w:ascii="Book Antiqua" w:hAnsi="Book Antiqua"/>
          <w:b/>
          <w:bCs/>
          <w:sz w:val="28"/>
          <w:szCs w:val="28"/>
        </w:rPr>
        <w:t>e</w:t>
      </w:r>
      <w:r w:rsidRPr="002F2656">
        <w:rPr>
          <w:rFonts w:ascii="Book Antiqua" w:hAnsi="Book Antiqua"/>
          <w:b/>
          <w:bCs/>
          <w:sz w:val="28"/>
          <w:szCs w:val="28"/>
        </w:rPr>
        <w:t>fug</w:t>
      </w:r>
      <w:r w:rsidR="00977B83" w:rsidRPr="002F2656">
        <w:rPr>
          <w:rFonts w:ascii="Book Antiqua" w:hAnsi="Book Antiqua"/>
          <w:b/>
          <w:bCs/>
          <w:sz w:val="28"/>
          <w:szCs w:val="28"/>
        </w:rPr>
        <w:t>e</w:t>
      </w:r>
      <w:r w:rsidRPr="002F2656">
        <w:rPr>
          <w:rFonts w:ascii="Book Antiqua" w:hAnsi="Book Antiqua"/>
          <w:b/>
          <w:bCs/>
          <w:sz w:val="28"/>
          <w:szCs w:val="28"/>
        </w:rPr>
        <w:t>s, solidarités</w:t>
      </w:r>
      <w:r w:rsidR="002F2656">
        <w:rPr>
          <w:rFonts w:ascii="Book Antiqua" w:hAnsi="Book Antiqua"/>
          <w:b/>
          <w:bCs/>
          <w:sz w:val="28"/>
          <w:szCs w:val="28"/>
        </w:rPr>
        <w:t> »</w:t>
      </w:r>
      <w:r w:rsidR="00977B83" w:rsidRPr="002F2656">
        <w:rPr>
          <w:rFonts w:ascii="Book Antiqua" w:hAnsi="Book Antiqua"/>
          <w:b/>
          <w:bCs/>
          <w:sz w:val="28"/>
          <w:szCs w:val="28"/>
        </w:rPr>
        <w:t xml:space="preserve"> (1939</w:t>
      </w:r>
      <w:r w:rsidR="00A10DD7">
        <w:rPr>
          <w:rFonts w:ascii="Book Antiqua" w:hAnsi="Book Antiqua"/>
          <w:b/>
          <w:bCs/>
          <w:sz w:val="28"/>
          <w:szCs w:val="28"/>
        </w:rPr>
        <w:t xml:space="preserve"> </w:t>
      </w:r>
      <w:r w:rsidR="00977B83" w:rsidRPr="002F2656">
        <w:rPr>
          <w:rFonts w:ascii="Book Antiqua" w:hAnsi="Book Antiqua"/>
          <w:b/>
          <w:bCs/>
          <w:sz w:val="28"/>
          <w:szCs w:val="28"/>
        </w:rPr>
        <w:t>-</w:t>
      </w:r>
      <w:r w:rsidR="00A10DD7">
        <w:rPr>
          <w:rFonts w:ascii="Book Antiqua" w:hAnsi="Book Antiqua"/>
          <w:b/>
          <w:bCs/>
          <w:sz w:val="28"/>
          <w:szCs w:val="28"/>
        </w:rPr>
        <w:t xml:space="preserve"> </w:t>
      </w:r>
      <w:r w:rsidR="00977B83" w:rsidRPr="002F2656">
        <w:rPr>
          <w:rFonts w:ascii="Book Antiqua" w:hAnsi="Book Antiqua"/>
          <w:b/>
          <w:bCs/>
          <w:sz w:val="28"/>
          <w:szCs w:val="28"/>
        </w:rPr>
        <w:t>années 1960)</w:t>
      </w:r>
    </w:p>
    <w:p w14:paraId="7A8A2C39" w14:textId="77777777" w:rsidR="00D1344D" w:rsidRDefault="00D1344D" w:rsidP="002F2656">
      <w:pPr>
        <w:jc w:val="both"/>
        <w:rPr>
          <w:rFonts w:ascii="Book Antiqua" w:hAnsi="Book Antiqua"/>
          <w:sz w:val="22"/>
          <w:szCs w:val="22"/>
        </w:rPr>
      </w:pPr>
    </w:p>
    <w:p w14:paraId="0F33FAC0" w14:textId="77777777" w:rsidR="000B2B12" w:rsidRDefault="000B2B12" w:rsidP="002F2656">
      <w:pPr>
        <w:jc w:val="both"/>
        <w:rPr>
          <w:rFonts w:ascii="Book Antiqua" w:hAnsi="Book Antiqua"/>
          <w:sz w:val="22"/>
          <w:szCs w:val="22"/>
        </w:rPr>
      </w:pPr>
    </w:p>
    <w:p w14:paraId="01367501" w14:textId="77777777" w:rsidR="005069D2" w:rsidRPr="000B2B12" w:rsidRDefault="005069D2" w:rsidP="005069D2">
      <w:pPr>
        <w:pStyle w:val="Titre2"/>
        <w:jc w:val="both"/>
        <w:rPr>
          <w:rFonts w:ascii="Book Antiqua" w:hAnsi="Book Antiqua"/>
          <w:sz w:val="24"/>
          <w:szCs w:val="24"/>
        </w:rPr>
      </w:pPr>
      <w:r w:rsidRPr="000B2B12">
        <w:rPr>
          <w:rFonts w:ascii="Book Antiqua" w:hAnsi="Book Antiqua"/>
          <w:sz w:val="24"/>
          <w:szCs w:val="24"/>
        </w:rPr>
        <w:t xml:space="preserve">Cadre scientifique et institutionnel </w:t>
      </w:r>
    </w:p>
    <w:p w14:paraId="21336781" w14:textId="77777777" w:rsidR="005069D2" w:rsidRDefault="005069D2" w:rsidP="005069D2">
      <w:pPr>
        <w:jc w:val="both"/>
        <w:rPr>
          <w:rFonts w:ascii="Book Antiqua" w:hAnsi="Book Antiqua"/>
          <w:sz w:val="22"/>
          <w:szCs w:val="22"/>
        </w:rPr>
      </w:pPr>
    </w:p>
    <w:p w14:paraId="4C1685EC" w14:textId="77777777" w:rsidR="005069D2" w:rsidRPr="002F2656" w:rsidRDefault="005069D2" w:rsidP="005069D2">
      <w:pPr>
        <w:jc w:val="both"/>
        <w:rPr>
          <w:rFonts w:ascii="Book Antiqua" w:hAnsi="Book Antiqua"/>
          <w:sz w:val="22"/>
          <w:szCs w:val="22"/>
        </w:rPr>
      </w:pPr>
      <w:r w:rsidRPr="002F2656">
        <w:rPr>
          <w:rFonts w:ascii="Book Antiqua" w:hAnsi="Book Antiqua"/>
          <w:sz w:val="22"/>
          <w:szCs w:val="22"/>
        </w:rPr>
        <w:t>L'université Caen Normandie propose un contrat doctoral d'une durée de trois ans, à compter du 1</w:t>
      </w:r>
      <w:r w:rsidRPr="002F2656">
        <w:rPr>
          <w:rFonts w:ascii="Book Antiqua" w:hAnsi="Book Antiqua"/>
          <w:sz w:val="22"/>
          <w:szCs w:val="22"/>
          <w:vertAlign w:val="superscript"/>
        </w:rPr>
        <w:t>er</w:t>
      </w:r>
      <w:r w:rsidRPr="002F2656">
        <w:rPr>
          <w:rFonts w:ascii="Book Antiqua" w:hAnsi="Book Antiqua"/>
          <w:sz w:val="22"/>
          <w:szCs w:val="22"/>
        </w:rPr>
        <w:t xml:space="preserve"> novembre 2026. Financé par </w:t>
      </w:r>
      <w:proofErr w:type="spellStart"/>
      <w:r w:rsidRPr="002F2656">
        <w:rPr>
          <w:rFonts w:ascii="Book Antiqua" w:hAnsi="Book Antiqua"/>
          <w:sz w:val="22"/>
          <w:szCs w:val="22"/>
        </w:rPr>
        <w:t>CaeSAR</w:t>
      </w:r>
      <w:proofErr w:type="spellEnd"/>
      <w:r w:rsidRPr="002F2656">
        <w:rPr>
          <w:rFonts w:ascii="Book Antiqua" w:hAnsi="Book Antiqua"/>
          <w:sz w:val="22"/>
          <w:szCs w:val="22"/>
        </w:rPr>
        <w:t xml:space="preserve"> (Caen, Stratégie pour l'Accélération en Recherche) dans le cadre de l'initiative </w:t>
      </w:r>
      <w:proofErr w:type="spellStart"/>
      <w:r w:rsidRPr="002F2656">
        <w:rPr>
          <w:rFonts w:ascii="Book Antiqua" w:hAnsi="Book Antiqua"/>
          <w:sz w:val="22"/>
          <w:szCs w:val="22"/>
        </w:rPr>
        <w:t>ExcellencES</w:t>
      </w:r>
      <w:proofErr w:type="spellEnd"/>
      <w:r w:rsidRPr="002F2656">
        <w:rPr>
          <w:rFonts w:ascii="Book Antiqua" w:hAnsi="Book Antiqua"/>
          <w:sz w:val="22"/>
          <w:szCs w:val="22"/>
        </w:rPr>
        <w:t xml:space="preserve">, France 2030, ce contrat s'inscrit dans le projet </w:t>
      </w:r>
      <w:r w:rsidRPr="002F2656">
        <w:rPr>
          <w:rFonts w:ascii="Book Antiqua" w:hAnsi="Book Antiqua"/>
          <w:i/>
          <w:iCs/>
          <w:sz w:val="22"/>
          <w:szCs w:val="22"/>
        </w:rPr>
        <w:t>ENSOHM 39-45+</w:t>
      </w:r>
      <w:r w:rsidRPr="002F2656">
        <w:rPr>
          <w:rFonts w:ascii="Book Antiqua" w:hAnsi="Book Antiqua"/>
          <w:sz w:val="22"/>
          <w:szCs w:val="22"/>
        </w:rPr>
        <w:t xml:space="preserve">, porté par Gaël </w:t>
      </w:r>
      <w:proofErr w:type="spellStart"/>
      <w:r w:rsidRPr="002F2656">
        <w:rPr>
          <w:rFonts w:ascii="Book Antiqua" w:hAnsi="Book Antiqua"/>
          <w:sz w:val="22"/>
          <w:szCs w:val="22"/>
        </w:rPr>
        <w:t>Eismann</w:t>
      </w:r>
      <w:proofErr w:type="spellEnd"/>
      <w:r w:rsidRPr="002F2656">
        <w:rPr>
          <w:rFonts w:ascii="Book Antiqua" w:hAnsi="Book Antiqua"/>
          <w:sz w:val="22"/>
          <w:szCs w:val="22"/>
        </w:rPr>
        <w:t xml:space="preserve">. Le laboratoire de rattachement est </w:t>
      </w:r>
      <w:proofErr w:type="spellStart"/>
      <w:r w:rsidRPr="002F2656">
        <w:rPr>
          <w:rFonts w:ascii="Book Antiqua" w:hAnsi="Book Antiqua"/>
          <w:sz w:val="22"/>
          <w:szCs w:val="22"/>
        </w:rPr>
        <w:t>HisTeMé</w:t>
      </w:r>
      <w:proofErr w:type="spellEnd"/>
      <w:r w:rsidRPr="002F2656">
        <w:rPr>
          <w:rFonts w:ascii="Book Antiqua" w:hAnsi="Book Antiqua"/>
          <w:sz w:val="22"/>
          <w:szCs w:val="22"/>
        </w:rPr>
        <w:t xml:space="preserve"> (UR 7455).</w:t>
      </w:r>
    </w:p>
    <w:p w14:paraId="171C8DB5" w14:textId="77777777" w:rsidR="005069D2" w:rsidRPr="002F2656" w:rsidRDefault="005069D2" w:rsidP="005069D2">
      <w:pPr>
        <w:pStyle w:val="Titre2"/>
        <w:jc w:val="both"/>
        <w:rPr>
          <w:rFonts w:ascii="Book Antiqua" w:hAnsi="Book Antiqua"/>
          <w:sz w:val="22"/>
          <w:szCs w:val="22"/>
        </w:rPr>
      </w:pPr>
    </w:p>
    <w:p w14:paraId="3D752841" w14:textId="77777777" w:rsidR="005069D2" w:rsidRPr="002F2656" w:rsidRDefault="005069D2" w:rsidP="005069D2">
      <w:pPr>
        <w:jc w:val="both"/>
        <w:rPr>
          <w:rFonts w:ascii="Book Antiqua" w:hAnsi="Book Antiqua"/>
          <w:sz w:val="22"/>
          <w:szCs w:val="22"/>
        </w:rPr>
      </w:pPr>
      <w:r w:rsidRPr="002F2656">
        <w:rPr>
          <w:rFonts w:ascii="Book Antiqua" w:hAnsi="Book Antiqua"/>
          <w:sz w:val="22"/>
          <w:szCs w:val="22"/>
        </w:rPr>
        <w:t xml:space="preserve">Le projet ENSOHM 39-45+ propose une analyse renouvelée des occupations </w:t>
      </w:r>
      <w:proofErr w:type="spellStart"/>
      <w:r w:rsidRPr="002F2656">
        <w:rPr>
          <w:rFonts w:ascii="Book Antiqua" w:hAnsi="Book Antiqua"/>
          <w:sz w:val="22"/>
          <w:szCs w:val="22"/>
        </w:rPr>
        <w:t>national-socialistes</w:t>
      </w:r>
      <w:proofErr w:type="spellEnd"/>
      <w:r w:rsidRPr="002F2656">
        <w:rPr>
          <w:rFonts w:ascii="Book Antiqua" w:hAnsi="Book Antiqua"/>
          <w:sz w:val="22"/>
          <w:szCs w:val="22"/>
        </w:rPr>
        <w:t xml:space="preserve"> en Europe de l'Ouest, envisagées non comme simple juxtaposition d'expériences nationales sous domination, mais comme système impérial en situation, structuré par des espaces différenciés, des lignes de contrôle, des circulations régulées et des transferts dont les effets se prolongent au-delà de 1945. L'étude multiscalaire accorde une attention particulière au cas normand, croisant Seconde Guerre mondiale, migrations et refuge afin d'explorer, dans la longue durée, une séquence migratoire allant de la guerre d’Espagne au second après-guerre, incluant déplacements de guerre, migrations du travail et du refuge, ainsi que les recompositions sociales et mémorielles.</w:t>
      </w:r>
    </w:p>
    <w:p w14:paraId="529614BD" w14:textId="77777777" w:rsidR="005069D2" w:rsidRPr="002F2656" w:rsidRDefault="005069D2" w:rsidP="005069D2">
      <w:pPr>
        <w:jc w:val="both"/>
        <w:rPr>
          <w:rFonts w:ascii="Book Antiqua" w:hAnsi="Book Antiqua"/>
          <w:sz w:val="22"/>
          <w:szCs w:val="22"/>
        </w:rPr>
      </w:pPr>
      <w:r w:rsidRPr="002F2656">
        <w:rPr>
          <w:rFonts w:ascii="Book Antiqua" w:hAnsi="Book Antiqua"/>
          <w:sz w:val="22"/>
          <w:szCs w:val="22"/>
        </w:rPr>
        <w:t xml:space="preserve">Le projet vise à corriger un déséquilibre historiographique : si l'Europe orientale sous domination allemande a fait l'objet d'approches comparatives et transnationales, les occupations à l'Ouest restent majoritairement analysées dans des cadres nationaux. L'hypothèse centrale est que l'occupation à l'Ouest constitue un véritable laboratoire impérial, marqué par la diversité des expériences occupants/occupés et par d'intenses circulations d'acteurs, de victimes, mais aussi d'objets, de biens, de pratiques, de technologies et de savoirs administratifs. Une attention particulière est portée, dans la perspective du </w:t>
      </w:r>
      <w:proofErr w:type="spellStart"/>
      <w:r w:rsidRPr="002F2656">
        <w:rPr>
          <w:rFonts w:ascii="Book Antiqua" w:hAnsi="Book Antiqua"/>
          <w:i/>
          <w:iCs/>
          <w:sz w:val="22"/>
          <w:szCs w:val="22"/>
        </w:rPr>
        <w:t>material</w:t>
      </w:r>
      <w:proofErr w:type="spellEnd"/>
      <w:r w:rsidRPr="002F2656">
        <w:rPr>
          <w:rFonts w:ascii="Book Antiqua" w:hAnsi="Book Antiqua"/>
          <w:i/>
          <w:iCs/>
          <w:sz w:val="22"/>
          <w:szCs w:val="22"/>
        </w:rPr>
        <w:t xml:space="preserve"> </w:t>
      </w:r>
      <w:proofErr w:type="spellStart"/>
      <w:r w:rsidRPr="002F2656">
        <w:rPr>
          <w:rFonts w:ascii="Book Antiqua" w:hAnsi="Book Antiqua"/>
          <w:i/>
          <w:iCs/>
          <w:sz w:val="22"/>
          <w:szCs w:val="22"/>
        </w:rPr>
        <w:t>turn</w:t>
      </w:r>
      <w:proofErr w:type="spellEnd"/>
      <w:r w:rsidRPr="002F2656">
        <w:rPr>
          <w:rFonts w:ascii="Book Antiqua" w:hAnsi="Book Antiqua"/>
          <w:sz w:val="22"/>
          <w:szCs w:val="22"/>
        </w:rPr>
        <w:t>, à la matérialité de l'occupation, envisagée comme médiatrice et opératrice de pouvoir.</w:t>
      </w:r>
      <w:r>
        <w:rPr>
          <w:rFonts w:ascii="Book Antiqua" w:hAnsi="Book Antiqua"/>
          <w:sz w:val="22"/>
          <w:szCs w:val="22"/>
        </w:rPr>
        <w:t xml:space="preserve"> </w:t>
      </w:r>
      <w:r w:rsidRPr="002F2656">
        <w:rPr>
          <w:rFonts w:ascii="Book Antiqua" w:hAnsi="Book Antiqua"/>
          <w:sz w:val="22"/>
          <w:szCs w:val="22"/>
        </w:rPr>
        <w:t xml:space="preserve">Le projet intègre également les postérités de l'occupation, analysée comme un moment de production et de recomposition de normes, de pratiques et de savoirs partiellement reconvertis après 1945. Une place centrale est accordée aux questions de mémoire et de transmission, abordées dans un dialogue structuré entre histoire et neurosciences, en cohérence avec les orientations du Programme Seconde Guerre mondiale de la MRSH et de la Chaire régionale d’excellence « Normandie pour la paix : mémoire et avenir de la Paix ». </w:t>
      </w:r>
    </w:p>
    <w:p w14:paraId="62A6694E" w14:textId="77777777" w:rsidR="005069D2" w:rsidRPr="002F2656" w:rsidRDefault="005069D2" w:rsidP="005069D2">
      <w:pPr>
        <w:jc w:val="both"/>
        <w:rPr>
          <w:rFonts w:ascii="Book Antiqua" w:hAnsi="Book Antiqua"/>
          <w:sz w:val="22"/>
          <w:szCs w:val="22"/>
        </w:rPr>
      </w:pPr>
      <w:r w:rsidRPr="002F2656">
        <w:rPr>
          <w:rFonts w:ascii="Book Antiqua" w:hAnsi="Book Antiqua"/>
          <w:sz w:val="22"/>
          <w:szCs w:val="22"/>
        </w:rPr>
        <w:t>Périmètre du contrat doctoral</w:t>
      </w:r>
    </w:p>
    <w:p w14:paraId="2522BC97" w14:textId="77777777" w:rsidR="005069D2" w:rsidRPr="002F2656" w:rsidRDefault="005069D2" w:rsidP="005069D2">
      <w:pPr>
        <w:jc w:val="both"/>
        <w:rPr>
          <w:rFonts w:ascii="Book Antiqua" w:hAnsi="Book Antiqua"/>
          <w:sz w:val="22"/>
          <w:szCs w:val="22"/>
        </w:rPr>
      </w:pPr>
      <w:r w:rsidRPr="002F2656">
        <w:rPr>
          <w:rFonts w:ascii="Book Antiqua" w:hAnsi="Book Antiqua"/>
          <w:sz w:val="22"/>
          <w:szCs w:val="22"/>
        </w:rPr>
        <w:t xml:space="preserve">Le contrat doctoral (36 mois) portera sur une thématique innovante : « Déplacements forcés et </w:t>
      </w:r>
      <w:r w:rsidRPr="000B2B12">
        <w:rPr>
          <w:rFonts w:ascii="Book Antiqua" w:hAnsi="Book Antiqua"/>
          <w:sz w:val="22"/>
          <w:szCs w:val="22"/>
        </w:rPr>
        <w:t>migrations en Normandie (</w:t>
      </w:r>
      <w:r w:rsidRPr="00772E58">
        <w:rPr>
          <w:rFonts w:ascii="Book Antiqua" w:hAnsi="Book Antiqua"/>
          <w:sz w:val="22"/>
          <w:szCs w:val="22"/>
        </w:rPr>
        <w:t>1939</w:t>
      </w:r>
      <w:r w:rsidRPr="000B2B12">
        <w:rPr>
          <w:rFonts w:ascii="Book Antiqua" w:hAnsi="Book Antiqua"/>
          <w:sz w:val="22"/>
          <w:szCs w:val="22"/>
        </w:rPr>
        <w:t xml:space="preserve">-1960) : circulations, </w:t>
      </w:r>
      <w:r w:rsidRPr="00772E58">
        <w:rPr>
          <w:rFonts w:ascii="Book Antiqua" w:hAnsi="Book Antiqua"/>
          <w:sz w:val="22"/>
          <w:szCs w:val="22"/>
        </w:rPr>
        <w:t>refuges</w:t>
      </w:r>
      <w:r w:rsidRPr="000B2B12">
        <w:rPr>
          <w:rFonts w:ascii="Book Antiqua" w:hAnsi="Book Antiqua"/>
          <w:sz w:val="22"/>
          <w:szCs w:val="22"/>
        </w:rPr>
        <w:t>, solidarités ». Il s'agira d'ouvrir un</w:t>
      </w:r>
      <w:r w:rsidRPr="002F2656">
        <w:rPr>
          <w:rFonts w:ascii="Book Antiqua" w:hAnsi="Book Antiqua"/>
          <w:sz w:val="22"/>
          <w:szCs w:val="22"/>
        </w:rPr>
        <w:t xml:space="preserve"> nouveau champ d'investigation croisant histoire de la Seconde Guerre mondiale et histoire des migrations et des réfugiés : migrations du travail et du refuge en Normandie sur la longue durée, personnes déplacées et réfugiées de 1940 (exode) et de 1944 (bombardements, évacuations, destructions), communautés et vivre-ensemble aujourd'hui en lien avec l'histoire et les mémoires personnelles et familiales du second XX</w:t>
      </w:r>
      <w:r w:rsidRPr="002F2656">
        <w:rPr>
          <w:rFonts w:ascii="Book Antiqua" w:hAnsi="Book Antiqua"/>
          <w:sz w:val="22"/>
          <w:szCs w:val="22"/>
          <w:vertAlign w:val="superscript"/>
        </w:rPr>
        <w:t>e</w:t>
      </w:r>
      <w:r w:rsidRPr="002F2656">
        <w:rPr>
          <w:rFonts w:ascii="Book Antiqua" w:hAnsi="Book Antiqua"/>
          <w:sz w:val="22"/>
          <w:szCs w:val="22"/>
        </w:rPr>
        <w:t xml:space="preserve"> siècle.</w:t>
      </w:r>
      <w:r>
        <w:rPr>
          <w:rFonts w:ascii="Book Antiqua" w:hAnsi="Book Antiqua"/>
          <w:sz w:val="22"/>
          <w:szCs w:val="22"/>
        </w:rPr>
        <w:t xml:space="preserve"> </w:t>
      </w:r>
      <w:r w:rsidRPr="002F2656">
        <w:rPr>
          <w:rFonts w:ascii="Book Antiqua" w:hAnsi="Book Antiqua"/>
          <w:sz w:val="22"/>
          <w:szCs w:val="22"/>
        </w:rPr>
        <w:t xml:space="preserve">Cet angle structurant fait pleinement sens avec l'histoire même de la ville et de l'université de Caen, reconstruites à partir de 1957, encore marquées par les baraquements (notamment le quartier de </w:t>
      </w:r>
      <w:proofErr w:type="spellStart"/>
      <w:r w:rsidRPr="002F2656">
        <w:rPr>
          <w:rFonts w:ascii="Book Antiqua" w:hAnsi="Book Antiqua"/>
          <w:sz w:val="22"/>
          <w:szCs w:val="22"/>
        </w:rPr>
        <w:t>Tonneauville</w:t>
      </w:r>
      <w:proofErr w:type="spellEnd"/>
      <w:r w:rsidRPr="002F2656">
        <w:rPr>
          <w:rFonts w:ascii="Book Antiqua" w:hAnsi="Book Antiqua"/>
          <w:sz w:val="22"/>
          <w:szCs w:val="22"/>
        </w:rPr>
        <w:t xml:space="preserve">, camp de réfugiés fait de tonneaux métalliques semi-circulaires de l'aide humanitaire). Il s'agit de répondre à un enjeu majeur du temps présent : l'histoire et les mémoires des populations civiles, en articulant les échelles européenne et </w:t>
      </w:r>
      <w:r w:rsidRPr="002F2656">
        <w:rPr>
          <w:rFonts w:ascii="Book Antiqua" w:hAnsi="Book Antiqua"/>
          <w:sz w:val="22"/>
          <w:szCs w:val="22"/>
        </w:rPr>
        <w:lastRenderedPageBreak/>
        <w:t>régionale, dans des espaces aux frontières et statuts mouvants, façonnés par les annexions et les découpages administratifs.</w:t>
      </w:r>
      <w:r>
        <w:rPr>
          <w:rFonts w:ascii="Book Antiqua" w:hAnsi="Book Antiqua"/>
          <w:sz w:val="22"/>
          <w:szCs w:val="22"/>
        </w:rPr>
        <w:t xml:space="preserve"> </w:t>
      </w:r>
      <w:r w:rsidRPr="002F2656">
        <w:rPr>
          <w:rFonts w:ascii="Book Antiqua" w:hAnsi="Book Antiqua"/>
          <w:sz w:val="22"/>
          <w:szCs w:val="22"/>
        </w:rPr>
        <w:t xml:space="preserve">La/le doctorant(e) contribuera au volet normand « migrations/refuge » </w:t>
      </w:r>
      <w:r w:rsidRPr="00772E58">
        <w:rPr>
          <w:rFonts w:ascii="Book Antiqua" w:hAnsi="Book Antiqua"/>
          <w:sz w:val="22"/>
          <w:szCs w:val="22"/>
        </w:rPr>
        <w:t>du projet : recensement des sites et lieux documentés, constitution d'une cartographie des espaces de refuges et migrations, des mémoires civiles, participation des publics (témoins, descendants, acteurs locaux) et valorisation pédagogique des résultats, dans une logique de science ouverte et de</w:t>
      </w:r>
      <w:r w:rsidRPr="002F2656">
        <w:rPr>
          <w:rFonts w:ascii="Book Antiqua" w:hAnsi="Book Antiqua"/>
          <w:sz w:val="22"/>
          <w:szCs w:val="22"/>
        </w:rPr>
        <w:t xml:space="preserve"> dialogue science-société (partenariat avec le rectorat et les établissements d'enseignement secondaire, participation à la Fête de la science).</w:t>
      </w:r>
    </w:p>
    <w:p w14:paraId="32B8B182" w14:textId="77777777" w:rsidR="005069D2" w:rsidRDefault="005069D2" w:rsidP="000B2B12">
      <w:pPr>
        <w:pStyle w:val="Titre2"/>
        <w:jc w:val="both"/>
        <w:rPr>
          <w:rFonts w:ascii="Book Antiqua" w:hAnsi="Book Antiqua"/>
          <w:sz w:val="24"/>
          <w:szCs w:val="24"/>
        </w:rPr>
      </w:pPr>
    </w:p>
    <w:p w14:paraId="5607A40E" w14:textId="7EEF05A6" w:rsidR="000B2B12" w:rsidRPr="000B2B12" w:rsidRDefault="000B2B12" w:rsidP="000B2B12">
      <w:pPr>
        <w:pStyle w:val="Titre2"/>
        <w:jc w:val="both"/>
        <w:rPr>
          <w:rFonts w:ascii="Book Antiqua" w:hAnsi="Book Antiqua"/>
          <w:sz w:val="24"/>
          <w:szCs w:val="24"/>
        </w:rPr>
      </w:pPr>
      <w:r w:rsidRPr="000B2B12">
        <w:rPr>
          <w:rFonts w:ascii="Book Antiqua" w:hAnsi="Book Antiqua"/>
          <w:sz w:val="24"/>
          <w:szCs w:val="24"/>
        </w:rPr>
        <w:t>Argumentaire général</w:t>
      </w:r>
    </w:p>
    <w:p w14:paraId="1DB6356B" w14:textId="77777777" w:rsidR="000B2B12" w:rsidRPr="000B2B12" w:rsidRDefault="000B2B12" w:rsidP="000B2B12">
      <w:pPr>
        <w:pStyle w:val="Titre2"/>
        <w:jc w:val="both"/>
        <w:rPr>
          <w:sz w:val="28"/>
          <w:szCs w:val="28"/>
        </w:rPr>
      </w:pPr>
    </w:p>
    <w:p w14:paraId="2AC8AEA3" w14:textId="757A9791" w:rsidR="004A02A8" w:rsidRDefault="00D1344D" w:rsidP="002F2656">
      <w:pPr>
        <w:jc w:val="both"/>
        <w:rPr>
          <w:rFonts w:ascii="Book Antiqua" w:hAnsi="Book Antiqua"/>
          <w:sz w:val="22"/>
          <w:szCs w:val="22"/>
        </w:rPr>
      </w:pPr>
      <w:r w:rsidRPr="002F2656">
        <w:rPr>
          <w:rFonts w:ascii="Book Antiqua" w:hAnsi="Book Antiqua"/>
          <w:b/>
          <w:bCs/>
          <w:i/>
          <w:iCs/>
          <w:sz w:val="22"/>
          <w:szCs w:val="22"/>
        </w:rPr>
        <w:t>Cadre chrono</w:t>
      </w:r>
      <w:r w:rsidR="00FA137B" w:rsidRPr="002F2656">
        <w:rPr>
          <w:rFonts w:ascii="Book Antiqua" w:hAnsi="Book Antiqua"/>
          <w:b/>
          <w:bCs/>
          <w:sz w:val="22"/>
          <w:szCs w:val="22"/>
        </w:rPr>
        <w:t>logique</w:t>
      </w:r>
      <w:r w:rsidR="00FA137B" w:rsidRPr="002F2656">
        <w:rPr>
          <w:rFonts w:ascii="Book Antiqua" w:hAnsi="Book Antiqua"/>
          <w:sz w:val="22"/>
          <w:szCs w:val="22"/>
        </w:rPr>
        <w:t xml:space="preserve"> : L’année </w:t>
      </w:r>
      <w:r w:rsidR="00F2338D" w:rsidRPr="002F2656">
        <w:rPr>
          <w:rFonts w:ascii="Book Antiqua" w:hAnsi="Book Antiqua"/>
          <w:sz w:val="22"/>
          <w:szCs w:val="22"/>
        </w:rPr>
        <w:t>1939</w:t>
      </w:r>
      <w:r w:rsidR="00FA137B" w:rsidRPr="002F2656">
        <w:rPr>
          <w:rFonts w:ascii="Book Antiqua" w:hAnsi="Book Antiqua"/>
          <w:sz w:val="22"/>
          <w:szCs w:val="22"/>
        </w:rPr>
        <w:t xml:space="preserve"> </w:t>
      </w:r>
      <w:r w:rsidR="00F2338D" w:rsidRPr="002F2656">
        <w:rPr>
          <w:rFonts w:ascii="Book Antiqua" w:hAnsi="Book Antiqua"/>
          <w:sz w:val="22"/>
          <w:szCs w:val="22"/>
        </w:rPr>
        <w:t>permet d'intégrer les migrations transatlantiques du refuge juif via Le Havre</w:t>
      </w:r>
      <w:r w:rsidR="00FA137B" w:rsidRPr="002F2656">
        <w:rPr>
          <w:rFonts w:ascii="Book Antiqua" w:hAnsi="Book Antiqua"/>
          <w:sz w:val="22"/>
          <w:szCs w:val="22"/>
        </w:rPr>
        <w:t>.</w:t>
      </w:r>
      <w:r w:rsidR="00F2338D" w:rsidRPr="002F2656">
        <w:rPr>
          <w:rFonts w:ascii="Book Antiqua" w:hAnsi="Book Antiqua"/>
          <w:sz w:val="22"/>
          <w:szCs w:val="22"/>
        </w:rPr>
        <w:t xml:space="preserve"> On </w:t>
      </w:r>
      <w:r w:rsidR="00145B41" w:rsidRPr="002F2656">
        <w:rPr>
          <w:rFonts w:ascii="Book Antiqua" w:hAnsi="Book Antiqua"/>
          <w:sz w:val="22"/>
          <w:szCs w:val="22"/>
        </w:rPr>
        <w:t>peut aussi</w:t>
      </w:r>
      <w:r w:rsidR="00F2338D" w:rsidRPr="002F2656">
        <w:rPr>
          <w:rFonts w:ascii="Book Antiqua" w:hAnsi="Book Antiqua"/>
          <w:sz w:val="22"/>
          <w:szCs w:val="22"/>
        </w:rPr>
        <w:t xml:space="preserve"> envisager un </w:t>
      </w:r>
      <w:r w:rsidR="00F2338D" w:rsidRPr="00A10DD7">
        <w:rPr>
          <w:rFonts w:ascii="Book Antiqua" w:hAnsi="Book Antiqua"/>
          <w:i/>
          <w:iCs/>
          <w:sz w:val="22"/>
          <w:szCs w:val="22"/>
        </w:rPr>
        <w:t>terminus a quo</w:t>
      </w:r>
      <w:r w:rsidR="00F2338D" w:rsidRPr="002F2656">
        <w:rPr>
          <w:rFonts w:ascii="Book Antiqua" w:hAnsi="Book Antiqua"/>
          <w:sz w:val="22"/>
          <w:szCs w:val="22"/>
        </w:rPr>
        <w:t xml:space="preserve"> légèrement antérieur (1938-1939) pour saisir l'arrivée des réfugiés espagnols de la </w:t>
      </w:r>
      <w:proofErr w:type="spellStart"/>
      <w:r w:rsidR="00F2338D" w:rsidRPr="002F2656">
        <w:rPr>
          <w:rFonts w:ascii="Book Antiqua" w:hAnsi="Book Antiqua"/>
          <w:i/>
          <w:iCs/>
          <w:sz w:val="22"/>
          <w:szCs w:val="22"/>
        </w:rPr>
        <w:t>Retirada</w:t>
      </w:r>
      <w:proofErr w:type="spellEnd"/>
      <w:r w:rsidR="00F2338D" w:rsidRPr="002F2656">
        <w:rPr>
          <w:rFonts w:ascii="Book Antiqua" w:hAnsi="Book Antiqua"/>
          <w:sz w:val="22"/>
          <w:szCs w:val="22"/>
        </w:rPr>
        <w:t>, dont une partie transite ou est affectée en Normandie dès 1939 via les Compagnies de travailleurs étrangers (CTE)</w:t>
      </w:r>
      <w:r w:rsidR="00FA137B" w:rsidRPr="002F2656">
        <w:rPr>
          <w:rFonts w:ascii="Book Antiqua" w:hAnsi="Book Antiqua"/>
          <w:sz w:val="22"/>
          <w:szCs w:val="22"/>
        </w:rPr>
        <w:t xml:space="preserve">. Les </w:t>
      </w:r>
      <w:r w:rsidR="00D3061A" w:rsidRPr="002F2656">
        <w:rPr>
          <w:rFonts w:ascii="Book Antiqua" w:hAnsi="Book Antiqua"/>
          <w:sz w:val="22"/>
          <w:szCs w:val="22"/>
        </w:rPr>
        <w:t>« </w:t>
      </w:r>
      <w:r w:rsidR="004A02A8" w:rsidRPr="002F2656">
        <w:rPr>
          <w:rFonts w:ascii="Book Antiqua" w:hAnsi="Book Antiqua"/>
          <w:sz w:val="22"/>
          <w:szCs w:val="22"/>
        </w:rPr>
        <w:t>années</w:t>
      </w:r>
      <w:r w:rsidR="00FA137B" w:rsidRPr="002F2656">
        <w:rPr>
          <w:rFonts w:ascii="Book Antiqua" w:hAnsi="Book Antiqua"/>
          <w:sz w:val="22"/>
          <w:szCs w:val="22"/>
        </w:rPr>
        <w:t xml:space="preserve"> </w:t>
      </w:r>
      <w:r w:rsidR="004A02A8" w:rsidRPr="002F2656">
        <w:rPr>
          <w:rFonts w:ascii="Book Antiqua" w:hAnsi="Book Antiqua"/>
          <w:sz w:val="22"/>
          <w:szCs w:val="22"/>
        </w:rPr>
        <w:t xml:space="preserve">1960 » </w:t>
      </w:r>
      <w:r w:rsidR="00145B41" w:rsidRPr="002F2656">
        <w:rPr>
          <w:rFonts w:ascii="Book Antiqua" w:hAnsi="Book Antiqua"/>
          <w:sz w:val="22"/>
          <w:szCs w:val="22"/>
        </w:rPr>
        <w:t xml:space="preserve">constituent la borne finale : </w:t>
      </w:r>
      <w:r w:rsidR="004A02A8" w:rsidRPr="002F2656">
        <w:rPr>
          <w:rFonts w:ascii="Book Antiqua" w:hAnsi="Book Antiqua"/>
          <w:sz w:val="22"/>
          <w:szCs w:val="22"/>
        </w:rPr>
        <w:t>1965</w:t>
      </w:r>
      <w:r w:rsidR="00FA137B" w:rsidRPr="002F2656">
        <w:rPr>
          <w:rFonts w:ascii="Book Antiqua" w:hAnsi="Book Antiqua"/>
          <w:sz w:val="22"/>
          <w:szCs w:val="22"/>
        </w:rPr>
        <w:t xml:space="preserve"> marque la fin officielle de la reconstruction et l’amorce de la résorption des bidonvilles</w:t>
      </w:r>
      <w:r w:rsidR="00145B41" w:rsidRPr="002F2656">
        <w:rPr>
          <w:rFonts w:ascii="Book Antiqua" w:hAnsi="Book Antiqua"/>
          <w:sz w:val="22"/>
          <w:szCs w:val="22"/>
        </w:rPr>
        <w:t>. Des incursions documentées pourront porter jusqu’en</w:t>
      </w:r>
      <w:r w:rsidR="00FA137B" w:rsidRPr="002F2656">
        <w:rPr>
          <w:rFonts w:ascii="Book Antiqua" w:hAnsi="Book Antiqua"/>
          <w:sz w:val="22"/>
          <w:szCs w:val="22"/>
        </w:rPr>
        <w:t xml:space="preserve"> </w:t>
      </w:r>
      <w:r w:rsidR="004A02A8" w:rsidRPr="002F2656">
        <w:rPr>
          <w:rFonts w:ascii="Book Antiqua" w:hAnsi="Book Antiqua"/>
          <w:sz w:val="22"/>
          <w:szCs w:val="22"/>
        </w:rPr>
        <w:t xml:space="preserve">1974 pour la question des baraquements résiduels et leur requalification en habitat précaire « ordinaire ». </w:t>
      </w:r>
      <w:r w:rsidR="00145B41" w:rsidRPr="002F2656">
        <w:rPr>
          <w:rFonts w:ascii="Book Antiqua" w:hAnsi="Book Antiqua"/>
          <w:sz w:val="22"/>
          <w:szCs w:val="22"/>
        </w:rPr>
        <w:t>Cette périodisation</w:t>
      </w:r>
      <w:r w:rsidR="00FA137B" w:rsidRPr="002F2656">
        <w:rPr>
          <w:rFonts w:ascii="Book Antiqua" w:hAnsi="Book Antiqua"/>
          <w:sz w:val="22"/>
          <w:szCs w:val="22"/>
        </w:rPr>
        <w:t xml:space="preserve"> </w:t>
      </w:r>
      <w:r w:rsidR="004A02A8" w:rsidRPr="002F2656">
        <w:rPr>
          <w:rFonts w:ascii="Book Antiqua" w:hAnsi="Book Antiqua"/>
          <w:sz w:val="22"/>
          <w:szCs w:val="22"/>
        </w:rPr>
        <w:t xml:space="preserve">permet de montrer la continuité entre </w:t>
      </w:r>
      <w:r w:rsidR="00FA137B" w:rsidRPr="002F2656">
        <w:rPr>
          <w:rFonts w:ascii="Book Antiqua" w:hAnsi="Book Antiqua"/>
          <w:sz w:val="22"/>
          <w:szCs w:val="22"/>
        </w:rPr>
        <w:t xml:space="preserve">le </w:t>
      </w:r>
      <w:r w:rsidR="004A02A8" w:rsidRPr="002F2656">
        <w:rPr>
          <w:rFonts w:ascii="Book Antiqua" w:hAnsi="Book Antiqua"/>
          <w:sz w:val="22"/>
          <w:szCs w:val="22"/>
        </w:rPr>
        <w:t>statut de réfugié/sinistré et</w:t>
      </w:r>
      <w:r w:rsidR="00FA137B" w:rsidRPr="002F2656">
        <w:rPr>
          <w:rFonts w:ascii="Book Antiqua" w:hAnsi="Book Antiqua"/>
          <w:sz w:val="22"/>
          <w:szCs w:val="22"/>
        </w:rPr>
        <w:t xml:space="preserve"> le</w:t>
      </w:r>
      <w:r w:rsidR="004A02A8" w:rsidRPr="002F2656">
        <w:rPr>
          <w:rFonts w:ascii="Book Antiqua" w:hAnsi="Book Antiqua"/>
          <w:sz w:val="22"/>
          <w:szCs w:val="22"/>
        </w:rPr>
        <w:t xml:space="preserve"> statut de population précaire/marginalisée, qui </w:t>
      </w:r>
      <w:r w:rsidR="00FA137B" w:rsidRPr="002F2656">
        <w:rPr>
          <w:rFonts w:ascii="Book Antiqua" w:hAnsi="Book Antiqua"/>
          <w:sz w:val="22"/>
          <w:szCs w:val="22"/>
        </w:rPr>
        <w:t>constitue l’</w:t>
      </w:r>
      <w:r w:rsidR="004A02A8" w:rsidRPr="002F2656">
        <w:rPr>
          <w:rFonts w:ascii="Book Antiqua" w:hAnsi="Book Antiqua"/>
          <w:sz w:val="22"/>
          <w:szCs w:val="22"/>
        </w:rPr>
        <w:t>un des apports forts du projet.</w:t>
      </w:r>
    </w:p>
    <w:p w14:paraId="3456DE59" w14:textId="77777777" w:rsidR="002F2656" w:rsidRPr="002F2656" w:rsidRDefault="002F2656" w:rsidP="002F2656">
      <w:pPr>
        <w:jc w:val="both"/>
        <w:rPr>
          <w:rFonts w:ascii="Book Antiqua" w:hAnsi="Book Antiqua"/>
          <w:sz w:val="22"/>
          <w:szCs w:val="22"/>
        </w:rPr>
      </w:pPr>
    </w:p>
    <w:p w14:paraId="04D47A83" w14:textId="7FFCA868" w:rsidR="00D1344D" w:rsidRDefault="00D1344D" w:rsidP="002F2656">
      <w:pPr>
        <w:jc w:val="both"/>
        <w:rPr>
          <w:rFonts w:ascii="Book Antiqua" w:hAnsi="Book Antiqua"/>
          <w:sz w:val="22"/>
          <w:szCs w:val="22"/>
        </w:rPr>
      </w:pPr>
      <w:r w:rsidRPr="002F2656">
        <w:rPr>
          <w:rFonts w:ascii="Book Antiqua" w:hAnsi="Book Antiqua"/>
          <w:b/>
          <w:bCs/>
          <w:i/>
          <w:iCs/>
          <w:sz w:val="22"/>
          <w:szCs w:val="22"/>
        </w:rPr>
        <w:t>Cadre spatial</w:t>
      </w:r>
      <w:r w:rsidRPr="002F2656">
        <w:rPr>
          <w:rFonts w:ascii="Book Antiqua" w:hAnsi="Book Antiqua"/>
          <w:i/>
          <w:iCs/>
          <w:sz w:val="22"/>
          <w:szCs w:val="22"/>
        </w:rPr>
        <w:t> :</w:t>
      </w:r>
      <w:r w:rsidR="00FA137B" w:rsidRPr="002F2656">
        <w:rPr>
          <w:rFonts w:ascii="Book Antiqua" w:hAnsi="Book Antiqua"/>
          <w:sz w:val="22"/>
          <w:szCs w:val="22"/>
        </w:rPr>
        <w:t xml:space="preserve"> </w:t>
      </w:r>
      <w:r w:rsidR="00145B41" w:rsidRPr="002F2656">
        <w:rPr>
          <w:rFonts w:ascii="Book Antiqua" w:hAnsi="Book Antiqua"/>
          <w:sz w:val="22"/>
          <w:szCs w:val="22"/>
        </w:rPr>
        <w:t>La Normandie constitue un e</w:t>
      </w:r>
      <w:r w:rsidR="00553E78" w:rsidRPr="002F2656">
        <w:rPr>
          <w:rFonts w:ascii="Book Antiqua" w:hAnsi="Book Antiqua"/>
          <w:sz w:val="22"/>
          <w:szCs w:val="22"/>
        </w:rPr>
        <w:t>space de référence administrative mouvante : Commissariat régional de la République (jusqu'en 1946), puis région historique de Normandie (jusqu'en 1956), puis division Haute/Basse-Normandie.</w:t>
      </w:r>
      <w:r w:rsidR="00FA137B" w:rsidRPr="002F2656">
        <w:rPr>
          <w:rFonts w:ascii="Book Antiqua" w:hAnsi="Book Antiqua"/>
          <w:sz w:val="22"/>
          <w:szCs w:val="22"/>
        </w:rPr>
        <w:t xml:space="preserve"> </w:t>
      </w:r>
      <w:r w:rsidR="00553E78" w:rsidRPr="002F2656">
        <w:rPr>
          <w:rFonts w:ascii="Book Antiqua" w:hAnsi="Book Antiqua"/>
          <w:sz w:val="22"/>
          <w:szCs w:val="22"/>
        </w:rPr>
        <w:t xml:space="preserve">Le projet privilégiera les zones sinistrées (villes bombardées et détruites, zones de combat de l'été 1944, littoral atlantique fortifié), avec une attention particulière </w:t>
      </w:r>
      <w:r w:rsidR="00FA137B" w:rsidRPr="002F2656">
        <w:rPr>
          <w:rFonts w:ascii="Book Antiqua" w:hAnsi="Book Antiqua"/>
          <w:sz w:val="22"/>
          <w:szCs w:val="22"/>
        </w:rPr>
        <w:t xml:space="preserve">à Caen, </w:t>
      </w:r>
      <w:r w:rsidR="00553E78" w:rsidRPr="002F2656">
        <w:rPr>
          <w:rFonts w:ascii="Book Antiqua" w:hAnsi="Book Antiqua"/>
          <w:sz w:val="22"/>
          <w:szCs w:val="22"/>
        </w:rPr>
        <w:t xml:space="preserve">au Havre et à Rouen — </w:t>
      </w:r>
      <w:r w:rsidR="00FA137B" w:rsidRPr="002F2656">
        <w:rPr>
          <w:rFonts w:ascii="Book Antiqua" w:hAnsi="Book Antiqua"/>
          <w:sz w:val="22"/>
          <w:szCs w:val="22"/>
        </w:rPr>
        <w:t xml:space="preserve">trois </w:t>
      </w:r>
      <w:r w:rsidR="00553E78" w:rsidRPr="002F2656">
        <w:rPr>
          <w:rFonts w:ascii="Book Antiqua" w:hAnsi="Book Antiqua"/>
          <w:sz w:val="22"/>
          <w:szCs w:val="22"/>
        </w:rPr>
        <w:t>pôles majeurs à la fois de destruction, de baraquements, et de circulations migratoires.</w:t>
      </w:r>
      <w:r w:rsidR="00FA137B" w:rsidRPr="002F2656">
        <w:rPr>
          <w:rFonts w:ascii="Book Antiqua" w:hAnsi="Book Antiqua"/>
          <w:sz w:val="22"/>
          <w:szCs w:val="22"/>
        </w:rPr>
        <w:t xml:space="preserve"> </w:t>
      </w:r>
    </w:p>
    <w:p w14:paraId="53EE2DB5" w14:textId="77777777" w:rsidR="002F2656" w:rsidRPr="002F2656" w:rsidRDefault="002F2656" w:rsidP="002F2656">
      <w:pPr>
        <w:jc w:val="both"/>
        <w:rPr>
          <w:rFonts w:ascii="Book Antiqua" w:hAnsi="Book Antiqua"/>
          <w:color w:val="FF0000"/>
          <w:sz w:val="22"/>
          <w:szCs w:val="22"/>
          <w:highlight w:val="yellow"/>
        </w:rPr>
      </w:pPr>
    </w:p>
    <w:p w14:paraId="17D11A52" w14:textId="4EDF7A93" w:rsidR="00D1344D" w:rsidRDefault="00145B41" w:rsidP="002F2656">
      <w:pPr>
        <w:jc w:val="both"/>
        <w:rPr>
          <w:rFonts w:ascii="Book Antiqua" w:hAnsi="Book Antiqua"/>
          <w:sz w:val="22"/>
          <w:szCs w:val="22"/>
        </w:rPr>
      </w:pPr>
      <w:r w:rsidRPr="002F2656">
        <w:rPr>
          <w:rFonts w:ascii="Book Antiqua" w:hAnsi="Book Antiqua"/>
          <w:b/>
          <w:bCs/>
          <w:i/>
          <w:iCs/>
          <w:sz w:val="22"/>
          <w:szCs w:val="22"/>
        </w:rPr>
        <w:t>Enjeux historiographiques</w:t>
      </w:r>
      <w:r w:rsidRPr="002F2656">
        <w:rPr>
          <w:rFonts w:ascii="Book Antiqua" w:hAnsi="Book Antiqua"/>
          <w:i/>
          <w:iCs/>
          <w:sz w:val="22"/>
          <w:szCs w:val="22"/>
        </w:rPr>
        <w:t xml:space="preserve"> : </w:t>
      </w:r>
      <w:r w:rsidRPr="002F2656">
        <w:rPr>
          <w:rFonts w:ascii="Book Antiqua" w:hAnsi="Book Antiqua"/>
          <w:sz w:val="22"/>
          <w:szCs w:val="22"/>
        </w:rPr>
        <w:t>Au vu de l’état des savoirs actuels sur l’ensemble de la période et de l’espace normand, des apports novateurs sont attendus</w:t>
      </w:r>
      <w:r w:rsidR="00D3061A" w:rsidRPr="002F2656">
        <w:rPr>
          <w:rFonts w:ascii="Book Antiqua" w:hAnsi="Book Antiqua"/>
          <w:sz w:val="22"/>
          <w:szCs w:val="22"/>
        </w:rPr>
        <w:t xml:space="preserve"> : </w:t>
      </w:r>
    </w:p>
    <w:p w14:paraId="04411394" w14:textId="5EA73F4A" w:rsidR="00D3061A" w:rsidRPr="002F2656" w:rsidRDefault="000843C7" w:rsidP="002F2656">
      <w:pPr>
        <w:jc w:val="both"/>
        <w:rPr>
          <w:rFonts w:ascii="Book Antiqua" w:hAnsi="Book Antiqua"/>
          <w:sz w:val="22"/>
          <w:szCs w:val="22"/>
        </w:rPr>
      </w:pPr>
      <w:r w:rsidRPr="0041561A">
        <w:rPr>
          <w:sz w:val="24"/>
          <w:szCs w:val="24"/>
        </w:rPr>
        <w:t>Concernant la période de guerre, l'analyse intégrera les différentes formes de circulation des populations, qu'il s'agisse des flux entrants ou sortants. Elle portera sur les politiques allemande et française de contrôle des mobilités en zone occupée (laissez-passer, zones côtières réglementées), ainsi que sur les évacuations imposées de communes littorales dans le cadre de la construction du Mur de l'Atlantique. Elle s'intéressera également aux déplacements de main-d'œuvre liés à l'Organisation Todt, qu'il s'agisse de travailleurs français, étrangers ou coloniaux installés en Normandie. Le Service du travail obligatoire (STO) sera étudié à travers les départs forcés vers l'Allemagne, mais aussi leurs effets sur les structures familiales et sociales locales, ainsi que les phénomènes du refus, de la clandestinité et des maquis, envisagés comme une forme de déplacement forcé interne. Les déportations de répression et de persécution seront enfin analysées comme des flux sortants, en articulation avec l'histoire locale des internements et des rafles. Une attention particulière sera également portée à l'exode de mai-juin 1940, qui voit les populations normandes se mêler aux flux de civils fuyant vers le sud, tandis que des réfugiés venus du Nord et de Belgique affluent en Normandie, où une partie d'entre eux s'installe durablement. Encore peu étudié à l'échelle régionale, cet épisode constitue pourtant le premier grand choc migratoire de la période et préfigure les dispositifs d'accueil et de secours (Croix-Rouge, services préfectoraux) réactivés en 1944-1945.</w:t>
      </w:r>
      <w:r w:rsidR="00027252">
        <w:rPr>
          <w:rFonts w:ascii="Book Antiqua" w:hAnsi="Book Antiqua"/>
          <w:sz w:val="24"/>
          <w:szCs w:val="24"/>
        </w:rPr>
        <w:t xml:space="preserve"> </w:t>
      </w:r>
      <w:r w:rsidR="00D3061A" w:rsidRPr="002F2656">
        <w:rPr>
          <w:rFonts w:ascii="Book Antiqua" w:hAnsi="Book Antiqua"/>
          <w:sz w:val="22"/>
          <w:szCs w:val="22"/>
        </w:rPr>
        <w:t>Une attention spécifique devra porter sur un « angle mort » historiographique</w:t>
      </w:r>
      <w:r w:rsidR="00E319F8" w:rsidRPr="002F2656">
        <w:rPr>
          <w:rFonts w:ascii="Book Antiqua" w:hAnsi="Book Antiqua"/>
          <w:sz w:val="22"/>
          <w:szCs w:val="22"/>
        </w:rPr>
        <w:t xml:space="preserve"> : les populations immigrées présentes en Normandie </w:t>
      </w:r>
      <w:r w:rsidR="00E319F8" w:rsidRPr="002F2656">
        <w:rPr>
          <w:rFonts w:ascii="Book Antiqua" w:hAnsi="Book Antiqua"/>
          <w:i/>
          <w:iCs/>
          <w:sz w:val="22"/>
          <w:szCs w:val="22"/>
        </w:rPr>
        <w:t>pendant</w:t>
      </w:r>
      <w:r w:rsidR="00E319F8" w:rsidRPr="002F2656">
        <w:rPr>
          <w:rFonts w:ascii="Book Antiqua" w:hAnsi="Book Antiqua"/>
          <w:sz w:val="22"/>
          <w:szCs w:val="22"/>
        </w:rPr>
        <w:t xml:space="preserve"> la guerre, et leur positionnement face à l'occupant et au régime de Vichy. Quatre groupes principaux </w:t>
      </w:r>
      <w:r w:rsidR="00D3061A" w:rsidRPr="002F2656">
        <w:rPr>
          <w:rFonts w:ascii="Book Antiqua" w:hAnsi="Book Antiqua"/>
          <w:sz w:val="22"/>
          <w:szCs w:val="22"/>
        </w:rPr>
        <w:t xml:space="preserve">sont </w:t>
      </w:r>
      <w:r w:rsidR="00E319F8" w:rsidRPr="002F2656">
        <w:rPr>
          <w:rFonts w:ascii="Book Antiqua" w:hAnsi="Book Antiqua"/>
          <w:sz w:val="22"/>
          <w:szCs w:val="22"/>
        </w:rPr>
        <w:t>identifiés pour 1939 :</w:t>
      </w:r>
      <w:r w:rsidR="00D3061A" w:rsidRPr="002F2656">
        <w:rPr>
          <w:rFonts w:ascii="Book Antiqua" w:hAnsi="Book Antiqua"/>
          <w:sz w:val="22"/>
          <w:szCs w:val="22"/>
        </w:rPr>
        <w:t xml:space="preserve"> </w:t>
      </w:r>
      <w:r w:rsidR="00E319F8" w:rsidRPr="002F2656">
        <w:rPr>
          <w:rFonts w:ascii="Book Antiqua" w:hAnsi="Book Antiqua"/>
          <w:sz w:val="22"/>
          <w:szCs w:val="22"/>
        </w:rPr>
        <w:t>les Belges, en Haute-Normandie notamment, affectés d'une réputation de collaboration liée à leur appartenance flamande (à interroger : stéréotype, réalité, usages politiques du soupçon) ;</w:t>
      </w:r>
      <w:r w:rsidR="00D3061A" w:rsidRPr="002F2656">
        <w:rPr>
          <w:rFonts w:ascii="Book Antiqua" w:hAnsi="Book Antiqua"/>
          <w:sz w:val="22"/>
          <w:szCs w:val="22"/>
        </w:rPr>
        <w:t xml:space="preserve"> </w:t>
      </w:r>
      <w:r w:rsidR="00E319F8" w:rsidRPr="002F2656">
        <w:rPr>
          <w:rFonts w:ascii="Book Antiqua" w:hAnsi="Book Antiqua"/>
          <w:sz w:val="22"/>
          <w:szCs w:val="22"/>
        </w:rPr>
        <w:t>les Polonais, présents de longue date dans les bassins d'emploi (mines, agriculture) ;</w:t>
      </w:r>
      <w:r w:rsidR="00D3061A" w:rsidRPr="002F2656">
        <w:rPr>
          <w:rFonts w:ascii="Book Antiqua" w:hAnsi="Book Antiqua"/>
          <w:sz w:val="22"/>
          <w:szCs w:val="22"/>
        </w:rPr>
        <w:t xml:space="preserve"> </w:t>
      </w:r>
      <w:r w:rsidR="00E319F8" w:rsidRPr="002F2656">
        <w:rPr>
          <w:rFonts w:ascii="Book Antiqua" w:hAnsi="Book Antiqua"/>
          <w:sz w:val="22"/>
          <w:szCs w:val="22"/>
        </w:rPr>
        <w:t>les Italiens, dont le statut se complexifie après l'entrée en guerre de l'Italie (1940) et la question de la «</w:t>
      </w:r>
      <w:r w:rsidR="00424DFA" w:rsidRPr="002F2656">
        <w:rPr>
          <w:rFonts w:ascii="Book Antiqua" w:hAnsi="Book Antiqua"/>
          <w:sz w:val="22"/>
          <w:szCs w:val="22"/>
        </w:rPr>
        <w:t> </w:t>
      </w:r>
      <w:r w:rsidR="00E319F8" w:rsidRPr="002F2656">
        <w:rPr>
          <w:rFonts w:ascii="Book Antiqua" w:hAnsi="Book Antiqua"/>
          <w:sz w:val="22"/>
          <w:szCs w:val="22"/>
        </w:rPr>
        <w:t xml:space="preserve">surveillance des ressortissants ennemis </w:t>
      </w:r>
      <w:r w:rsidR="00E319F8" w:rsidRPr="002F2656">
        <w:rPr>
          <w:rFonts w:ascii="Book Antiqua" w:hAnsi="Book Antiqua"/>
          <w:sz w:val="22"/>
          <w:szCs w:val="22"/>
        </w:rPr>
        <w:lastRenderedPageBreak/>
        <w:t>» ;</w:t>
      </w:r>
      <w:r w:rsidR="00D3061A" w:rsidRPr="002F2656">
        <w:rPr>
          <w:rFonts w:ascii="Book Antiqua" w:hAnsi="Book Antiqua"/>
          <w:sz w:val="22"/>
          <w:szCs w:val="22"/>
        </w:rPr>
        <w:t xml:space="preserve"> </w:t>
      </w:r>
      <w:r w:rsidR="00E319F8" w:rsidRPr="002F2656">
        <w:rPr>
          <w:rFonts w:ascii="Book Antiqua" w:hAnsi="Book Antiqua"/>
          <w:sz w:val="22"/>
          <w:szCs w:val="22"/>
        </w:rPr>
        <w:t xml:space="preserve">les Espagnols, réfugiés de la guerre civile puis, pour beaucoup, requis dans les CTE et affectés aux chantiers du Mur de l'Atlantique </w:t>
      </w:r>
      <w:r w:rsidR="00424DFA" w:rsidRPr="002F2656">
        <w:rPr>
          <w:rFonts w:ascii="Book Antiqua" w:hAnsi="Book Antiqua"/>
          <w:sz w:val="22"/>
          <w:szCs w:val="22"/>
        </w:rPr>
        <w:t>–</w:t>
      </w:r>
      <w:r w:rsidR="00E319F8" w:rsidRPr="002F2656">
        <w:rPr>
          <w:rFonts w:ascii="Book Antiqua" w:hAnsi="Book Antiqua"/>
          <w:sz w:val="22"/>
          <w:szCs w:val="22"/>
        </w:rPr>
        <w:t xml:space="preserve"> population à la charnière entre statut de réfugié politique (1939) et statut de travailleur forcé (1940-1944).</w:t>
      </w:r>
      <w:r w:rsidR="00D3061A" w:rsidRPr="002F2656">
        <w:rPr>
          <w:rFonts w:ascii="Book Antiqua" w:hAnsi="Book Antiqua"/>
          <w:sz w:val="22"/>
          <w:szCs w:val="22"/>
        </w:rPr>
        <w:t xml:space="preserve"> </w:t>
      </w:r>
      <w:r w:rsidR="00E319F8" w:rsidRPr="002F2656">
        <w:rPr>
          <w:rFonts w:ascii="Book Antiqua" w:hAnsi="Book Antiqua"/>
          <w:sz w:val="22"/>
          <w:szCs w:val="22"/>
        </w:rPr>
        <w:t>Ce volet permettrait une histoire fine des hiérarchies ethniques et politiques de la suspicion sous l'Occupation, articulée à l'histoire sociale des migrations de travail antérieures à 1939.</w:t>
      </w:r>
    </w:p>
    <w:p w14:paraId="379E4B95" w14:textId="77777777" w:rsidR="005069D2" w:rsidRDefault="00D3061A" w:rsidP="002F2656">
      <w:pPr>
        <w:jc w:val="both"/>
        <w:rPr>
          <w:rFonts w:ascii="Book Antiqua" w:hAnsi="Book Antiqua"/>
          <w:sz w:val="22"/>
          <w:szCs w:val="22"/>
        </w:rPr>
      </w:pPr>
      <w:r w:rsidRPr="002F2656">
        <w:rPr>
          <w:rFonts w:ascii="Book Antiqua" w:hAnsi="Book Antiqua"/>
          <w:sz w:val="22"/>
          <w:szCs w:val="22"/>
        </w:rPr>
        <w:t>Concernant la période 1944 – années 1960</w:t>
      </w:r>
      <w:r w:rsidR="002F2656" w:rsidRPr="002F2656">
        <w:rPr>
          <w:rFonts w:ascii="Book Antiqua" w:hAnsi="Book Antiqua"/>
          <w:sz w:val="22"/>
          <w:szCs w:val="22"/>
        </w:rPr>
        <w:t xml:space="preserve"> : </w:t>
      </w:r>
      <w:r w:rsidR="002F2656">
        <w:rPr>
          <w:rFonts w:ascii="Book Antiqua" w:hAnsi="Book Antiqua"/>
          <w:sz w:val="22"/>
          <w:szCs w:val="22"/>
        </w:rPr>
        <w:t>sera</w:t>
      </w:r>
      <w:r w:rsidR="002F2656" w:rsidRPr="002F2656">
        <w:rPr>
          <w:rFonts w:ascii="Book Antiqua" w:hAnsi="Book Antiqua"/>
          <w:sz w:val="22"/>
          <w:szCs w:val="22"/>
        </w:rPr>
        <w:t xml:space="preserve"> à privilégier une </w:t>
      </w:r>
      <w:r w:rsidR="00977B83" w:rsidRPr="00A10DD7">
        <w:rPr>
          <w:rFonts w:ascii="Book Antiqua" w:hAnsi="Book Antiqua"/>
          <w:sz w:val="22"/>
          <w:szCs w:val="22"/>
        </w:rPr>
        <w:t>histoire sociale</w:t>
      </w:r>
      <w:r w:rsidR="002F2656" w:rsidRPr="00A10DD7">
        <w:rPr>
          <w:rFonts w:ascii="Book Antiqua" w:hAnsi="Book Antiqua"/>
          <w:sz w:val="22"/>
          <w:szCs w:val="22"/>
        </w:rPr>
        <w:t xml:space="preserve"> du refuge et des circulations migratoires</w:t>
      </w:r>
      <w:r w:rsidR="00977B83" w:rsidRPr="00A10DD7">
        <w:rPr>
          <w:rFonts w:ascii="Book Antiqua" w:hAnsi="Book Antiqua"/>
          <w:sz w:val="22"/>
          <w:szCs w:val="22"/>
        </w:rPr>
        <w:t xml:space="preserve"> (et non urbaine ou</w:t>
      </w:r>
      <w:r w:rsidR="002F2656" w:rsidRPr="00A10DD7">
        <w:rPr>
          <w:rFonts w:ascii="Book Antiqua" w:hAnsi="Book Antiqua"/>
          <w:sz w:val="22"/>
          <w:szCs w:val="22"/>
        </w:rPr>
        <w:t xml:space="preserve"> de la</w:t>
      </w:r>
      <w:r w:rsidR="00977B83" w:rsidRPr="00A10DD7">
        <w:rPr>
          <w:rFonts w:ascii="Book Antiqua" w:hAnsi="Book Antiqua"/>
          <w:sz w:val="22"/>
          <w:szCs w:val="22"/>
        </w:rPr>
        <w:t xml:space="preserve"> reconstruction/modernisation</w:t>
      </w:r>
      <w:r w:rsidR="002F2656" w:rsidRPr="00A10DD7">
        <w:rPr>
          <w:rFonts w:ascii="Book Antiqua" w:hAnsi="Book Antiqua"/>
          <w:sz w:val="22"/>
          <w:szCs w:val="22"/>
        </w:rPr>
        <w:t xml:space="preserve"> des </w:t>
      </w:r>
      <w:r w:rsidR="00977B83" w:rsidRPr="00A10DD7">
        <w:rPr>
          <w:rFonts w:ascii="Book Antiqua" w:hAnsi="Book Antiqua"/>
          <w:sz w:val="22"/>
          <w:szCs w:val="22"/>
        </w:rPr>
        <w:t>30 Glorieuses</w:t>
      </w:r>
      <w:r w:rsidR="002F2656" w:rsidRPr="00A10DD7">
        <w:rPr>
          <w:rFonts w:ascii="Book Antiqua" w:hAnsi="Book Antiqua"/>
          <w:sz w:val="22"/>
          <w:szCs w:val="22"/>
        </w:rPr>
        <w:t xml:space="preserve"> de la Normandie</w:t>
      </w:r>
      <w:r w:rsidR="00A10DD7">
        <w:rPr>
          <w:rFonts w:ascii="Book Antiqua" w:hAnsi="Book Antiqua"/>
          <w:sz w:val="22"/>
          <w:szCs w:val="22"/>
        </w:rPr>
        <w:t xml:space="preserve"> déjà étudiés</w:t>
      </w:r>
      <w:r w:rsidR="00977B83" w:rsidRPr="00A10DD7">
        <w:rPr>
          <w:rFonts w:ascii="Book Antiqua" w:hAnsi="Book Antiqua"/>
          <w:sz w:val="22"/>
          <w:szCs w:val="22"/>
        </w:rPr>
        <w:t>)</w:t>
      </w:r>
      <w:r w:rsidR="002F2656" w:rsidRPr="00A10DD7">
        <w:rPr>
          <w:rFonts w:ascii="Book Antiqua" w:hAnsi="Book Antiqua"/>
          <w:sz w:val="22"/>
          <w:szCs w:val="22"/>
        </w:rPr>
        <w:t> :</w:t>
      </w:r>
      <w:r w:rsidR="00A10DD7">
        <w:rPr>
          <w:rFonts w:ascii="Book Antiqua" w:hAnsi="Book Antiqua"/>
          <w:sz w:val="22"/>
          <w:szCs w:val="22"/>
        </w:rPr>
        <w:t xml:space="preserve"> </w:t>
      </w:r>
      <w:r w:rsidR="00977B83" w:rsidRPr="00A10DD7">
        <w:rPr>
          <w:rFonts w:ascii="Book Antiqua" w:hAnsi="Book Antiqua"/>
          <w:sz w:val="22"/>
          <w:szCs w:val="22"/>
        </w:rPr>
        <w:t xml:space="preserve">déplacements des centres villes détruits vers les périphéries, baraquements </w:t>
      </w:r>
      <w:r w:rsidR="009E6D47" w:rsidRPr="00A10DD7">
        <w:rPr>
          <w:rFonts w:ascii="Book Antiqua" w:hAnsi="Book Antiqua"/>
          <w:sz w:val="22"/>
          <w:szCs w:val="22"/>
        </w:rPr>
        <w:t xml:space="preserve">provisoires </w:t>
      </w:r>
      <w:r w:rsidR="002F2656" w:rsidRPr="00A10DD7">
        <w:rPr>
          <w:rFonts w:ascii="Book Antiqua" w:hAnsi="Book Antiqua"/>
          <w:sz w:val="22"/>
          <w:szCs w:val="22"/>
        </w:rPr>
        <w:t>et installations précaires de l’assistance humanitaire locale, nationale et internationale</w:t>
      </w:r>
      <w:r w:rsidR="00A10DD7">
        <w:rPr>
          <w:rFonts w:ascii="Book Antiqua" w:hAnsi="Book Antiqua"/>
          <w:sz w:val="22"/>
          <w:szCs w:val="22"/>
        </w:rPr>
        <w:t> ; travailleurs</w:t>
      </w:r>
      <w:r w:rsidR="009E6D47" w:rsidRPr="00A10DD7">
        <w:rPr>
          <w:rFonts w:ascii="Book Antiqua" w:hAnsi="Book Antiqua"/>
          <w:sz w:val="22"/>
          <w:szCs w:val="22"/>
        </w:rPr>
        <w:t xml:space="preserve"> immigrés de la reconstruction </w:t>
      </w:r>
      <w:r w:rsidR="00A10DD7">
        <w:rPr>
          <w:rFonts w:ascii="Book Antiqua" w:hAnsi="Book Antiqua"/>
          <w:sz w:val="22"/>
          <w:szCs w:val="22"/>
        </w:rPr>
        <w:t xml:space="preserve">en Normandie, programmes internationaux de prise en charge et de secours des réfugiés et déplacées (UNRRA, CIR, OIR, Plan Marshall, Etats alliés et neutres), gestion nationale, régionale et locale des réfugiés et déplacées ; </w:t>
      </w:r>
      <w:r w:rsidR="00F66006" w:rsidRPr="006D0C85">
        <w:rPr>
          <w:rFonts w:ascii="Book Antiqua" w:hAnsi="Book Antiqua"/>
          <w:sz w:val="22"/>
          <w:szCs w:val="22"/>
        </w:rPr>
        <w:t>histoire locale et régionale des solidarités privées</w:t>
      </w:r>
      <w:r w:rsidR="00A10DD7" w:rsidRPr="006D0C85">
        <w:rPr>
          <w:rFonts w:ascii="Book Antiqua" w:hAnsi="Book Antiqua"/>
          <w:sz w:val="22"/>
          <w:szCs w:val="22"/>
        </w:rPr>
        <w:t xml:space="preserve"> (laïques et religieuse)</w:t>
      </w:r>
      <w:r w:rsidR="00F66006" w:rsidRPr="006D0C85">
        <w:rPr>
          <w:rFonts w:ascii="Book Antiqua" w:hAnsi="Book Antiqua"/>
          <w:sz w:val="22"/>
          <w:szCs w:val="22"/>
        </w:rPr>
        <w:t xml:space="preserve"> et publiques</w:t>
      </w:r>
      <w:r w:rsidR="00A10DD7" w:rsidRPr="006D0C85">
        <w:rPr>
          <w:rFonts w:ascii="Book Antiqua" w:hAnsi="Book Antiqua"/>
          <w:sz w:val="22"/>
          <w:szCs w:val="22"/>
        </w:rPr>
        <w:t xml:space="preserve">. </w:t>
      </w:r>
    </w:p>
    <w:p w14:paraId="36A587BB" w14:textId="5133DAFD" w:rsidR="005069D2" w:rsidRDefault="00F2338D" w:rsidP="002F2656">
      <w:pPr>
        <w:jc w:val="both"/>
        <w:rPr>
          <w:rFonts w:ascii="Book Antiqua" w:hAnsi="Book Antiqua"/>
          <w:sz w:val="22"/>
          <w:szCs w:val="22"/>
        </w:rPr>
      </w:pPr>
      <w:r w:rsidRPr="006D0C85">
        <w:rPr>
          <w:rFonts w:ascii="Book Antiqua" w:hAnsi="Book Antiqua"/>
          <w:sz w:val="22"/>
          <w:szCs w:val="22"/>
        </w:rPr>
        <w:t xml:space="preserve">La cohérence du sujet ne tient </w:t>
      </w:r>
      <w:r w:rsidR="00A10DD7" w:rsidRPr="006D0C85">
        <w:rPr>
          <w:rFonts w:ascii="Book Antiqua" w:hAnsi="Book Antiqua"/>
          <w:sz w:val="22"/>
          <w:szCs w:val="22"/>
        </w:rPr>
        <w:t xml:space="preserve">donc </w:t>
      </w:r>
      <w:r w:rsidRPr="006D0C85">
        <w:rPr>
          <w:rFonts w:ascii="Book Antiqua" w:hAnsi="Book Antiqua"/>
          <w:sz w:val="22"/>
          <w:szCs w:val="22"/>
        </w:rPr>
        <w:t>pas à une continuité chronologique lisse, mais à la persistance d'un même objet — l'expérience de la mobilité forcée et sa gestion institutionnelle — par-delà la rupture politique de 1944, que l'historiographie traite le plus souvent comme une frontière étanche entre une « histoire de la guerre » et une « histoire de la reconstruction ». Or, pour les populations déplacées elles-mêmes, cette rupture est largement discontinue : les mêmes espaces matériels de refuge (baraquements, camps, logements de fortune) accueillent successivement des populations évacuées, des travailleurs étrangers requis, puis des sinistrés et des réfugiés de l'après-guerre ; les mêmes acteurs de l'assistance (Croix-Rouge, services préfectoraux, réseaux caritatifs) transposent après 1944 des pratiques et des catégories d'intervention élaborées sous l'Occupation</w:t>
      </w:r>
      <w:r w:rsidR="005069D2">
        <w:rPr>
          <w:rFonts w:ascii="Book Antiqua" w:hAnsi="Book Antiqua"/>
          <w:sz w:val="22"/>
          <w:szCs w:val="22"/>
        </w:rPr>
        <w:t>. E</w:t>
      </w:r>
      <w:r w:rsidRPr="006D0C85">
        <w:rPr>
          <w:rFonts w:ascii="Book Antiqua" w:hAnsi="Book Antiqua"/>
          <w:sz w:val="22"/>
          <w:szCs w:val="22"/>
        </w:rPr>
        <w:t xml:space="preserve">t certains groupes — Espagnols des anciennes CTE, Polonais, populations d'Europe centrale — passent sans rupture nette du statut de main-d'œuvre étrangère surveillée à celui de main-d'œuvre de la reconstruction, puis de résident précaire des franges urbaines. </w:t>
      </w:r>
    </w:p>
    <w:p w14:paraId="5C959B30" w14:textId="1A9DE6A2" w:rsidR="00F2338D" w:rsidRDefault="00F2338D" w:rsidP="002F2656">
      <w:pPr>
        <w:jc w:val="both"/>
        <w:rPr>
          <w:rFonts w:ascii="Book Antiqua" w:hAnsi="Book Antiqua"/>
          <w:sz w:val="22"/>
          <w:szCs w:val="22"/>
        </w:rPr>
      </w:pPr>
      <w:r w:rsidRPr="006D0C85">
        <w:rPr>
          <w:rFonts w:ascii="Book Antiqua" w:hAnsi="Book Antiqua"/>
          <w:sz w:val="22"/>
          <w:szCs w:val="22"/>
        </w:rPr>
        <w:t>Le projet propose ainsi de substituer à la césure convenue de 1944 une lecture en continuité : celle d'un même régime normand de gestion des populations en mouvement, dont les catégories administratives se recomposent au gré des contextes politiques (Vichy, Libération, IVe République) sans jamais rompre entièrement avec les logiques spatiales et sociales antérieures. C'est cette continuité — plus que la simple juxtaposition de deux sous-périodes — qui constitue l'apport historiographique central de la thèse</w:t>
      </w:r>
      <w:r w:rsidR="00A10DD7" w:rsidRPr="006D0C85">
        <w:rPr>
          <w:rFonts w:ascii="Book Antiqua" w:hAnsi="Book Antiqua"/>
          <w:sz w:val="22"/>
          <w:szCs w:val="22"/>
        </w:rPr>
        <w:t xml:space="preserve"> qui associe histoire sociale, histoire des expériences migratoires individuelles et collectives </w:t>
      </w:r>
      <w:r w:rsidR="006D0C85" w:rsidRPr="006D0C85">
        <w:rPr>
          <w:rFonts w:ascii="Book Antiqua" w:hAnsi="Book Antiqua"/>
          <w:sz w:val="22"/>
          <w:szCs w:val="22"/>
        </w:rPr>
        <w:t xml:space="preserve">vécues et incarnées, </w:t>
      </w:r>
      <w:r w:rsidR="00A10DD7" w:rsidRPr="006D0C85">
        <w:rPr>
          <w:rFonts w:ascii="Book Antiqua" w:hAnsi="Book Antiqua"/>
          <w:sz w:val="22"/>
          <w:szCs w:val="22"/>
        </w:rPr>
        <w:t xml:space="preserve">et histoire des opérateurs de secours et de gestion des mobilités. </w:t>
      </w:r>
    </w:p>
    <w:p w14:paraId="19C39648" w14:textId="77777777" w:rsidR="006D0C85" w:rsidRDefault="006D0C85" w:rsidP="002F2656">
      <w:pPr>
        <w:jc w:val="both"/>
        <w:rPr>
          <w:rFonts w:ascii="Book Antiqua" w:hAnsi="Book Antiqua"/>
          <w:sz w:val="22"/>
          <w:szCs w:val="22"/>
        </w:rPr>
      </w:pPr>
    </w:p>
    <w:p w14:paraId="74604FB3" w14:textId="29445493" w:rsidR="00FD469F" w:rsidRPr="006D0C85" w:rsidRDefault="006D0C85" w:rsidP="002F2656">
      <w:pPr>
        <w:jc w:val="both"/>
        <w:rPr>
          <w:rFonts w:ascii="Book Antiqua" w:hAnsi="Book Antiqua"/>
          <w:sz w:val="22"/>
          <w:szCs w:val="22"/>
        </w:rPr>
      </w:pPr>
      <w:r w:rsidRPr="000B2B12">
        <w:rPr>
          <w:rFonts w:ascii="Book Antiqua" w:hAnsi="Book Antiqua"/>
          <w:b/>
          <w:bCs/>
          <w:i/>
          <w:iCs/>
          <w:sz w:val="22"/>
          <w:szCs w:val="22"/>
        </w:rPr>
        <w:t>Corpus de sources</w:t>
      </w:r>
      <w:r w:rsidRPr="006D0C85">
        <w:rPr>
          <w:rFonts w:ascii="Book Antiqua" w:hAnsi="Book Antiqua"/>
          <w:sz w:val="22"/>
          <w:szCs w:val="22"/>
        </w:rPr>
        <w:t xml:space="preserve"> : </w:t>
      </w:r>
      <w:r w:rsidR="001C4FDE" w:rsidRPr="000B2B12">
        <w:rPr>
          <w:rFonts w:ascii="Book Antiqua" w:hAnsi="Book Antiqua"/>
          <w:sz w:val="22"/>
          <w:szCs w:val="22"/>
        </w:rPr>
        <w:t xml:space="preserve">Archives départementales de Normandie (séries M et W notamment) : </w:t>
      </w:r>
      <w:r w:rsidR="001C4FDE" w:rsidRPr="000B2B12">
        <w:rPr>
          <w:rFonts w:ascii="Book Antiqua" w:eastAsia="Garamond" w:hAnsi="Book Antiqua" w:cs="Garamond"/>
          <w:sz w:val="22"/>
          <w:szCs w:val="22"/>
        </w:rPr>
        <w:t>Archives municipales d</w:t>
      </w:r>
      <w:r w:rsidRPr="000B2B12">
        <w:rPr>
          <w:rFonts w:ascii="Book Antiqua" w:eastAsia="Garamond" w:hAnsi="Book Antiqua" w:cs="Garamond"/>
          <w:sz w:val="22"/>
          <w:szCs w:val="22"/>
        </w:rPr>
        <w:t>e Caen, d</w:t>
      </w:r>
      <w:r w:rsidR="001C4FDE" w:rsidRPr="000B2B12">
        <w:rPr>
          <w:rFonts w:ascii="Book Antiqua" w:eastAsia="Garamond" w:hAnsi="Book Antiqua" w:cs="Garamond"/>
          <w:sz w:val="22"/>
          <w:szCs w:val="22"/>
        </w:rPr>
        <w:t>u Havre et de Rouen</w:t>
      </w:r>
      <w:r w:rsidRPr="000B2B12">
        <w:rPr>
          <w:rFonts w:ascii="Book Antiqua" w:eastAsia="Garamond" w:hAnsi="Book Antiqua" w:cs="Garamond"/>
          <w:sz w:val="22"/>
          <w:szCs w:val="22"/>
        </w:rPr>
        <w:t> </w:t>
      </w:r>
      <w:r w:rsidRPr="000B2B12">
        <w:rPr>
          <w:rFonts w:ascii="Book Antiqua" w:hAnsi="Book Antiqua"/>
          <w:sz w:val="22"/>
          <w:szCs w:val="22"/>
        </w:rPr>
        <w:t xml:space="preserve">; </w:t>
      </w:r>
      <w:r w:rsidR="001C4FDE" w:rsidRPr="000B2B12">
        <w:rPr>
          <w:rFonts w:ascii="Book Antiqua" w:hAnsi="Book Antiqua"/>
          <w:sz w:val="22"/>
          <w:szCs w:val="22"/>
        </w:rPr>
        <w:t>Archives nationales</w:t>
      </w:r>
      <w:r w:rsidRPr="000B2B12">
        <w:rPr>
          <w:rFonts w:ascii="Book Antiqua" w:hAnsi="Book Antiqua"/>
          <w:sz w:val="22"/>
          <w:szCs w:val="22"/>
        </w:rPr>
        <w:t xml:space="preserve"> ; </w:t>
      </w:r>
      <w:r w:rsidR="001C4FDE" w:rsidRPr="000B2B12">
        <w:rPr>
          <w:rFonts w:ascii="Book Antiqua" w:hAnsi="Book Antiqua"/>
          <w:sz w:val="22"/>
          <w:szCs w:val="22"/>
        </w:rPr>
        <w:t>Service historique de la Défense</w:t>
      </w:r>
      <w:r w:rsidRPr="000B2B12">
        <w:rPr>
          <w:rFonts w:ascii="Book Antiqua" w:hAnsi="Book Antiqua"/>
          <w:sz w:val="22"/>
          <w:szCs w:val="22"/>
        </w:rPr>
        <w:t> </w:t>
      </w:r>
      <w:r w:rsidRPr="000B2B12">
        <w:rPr>
          <w:rFonts w:ascii="Book Antiqua" w:eastAsia="Garamond" w:hAnsi="Book Antiqua" w:cs="Garamond"/>
          <w:sz w:val="22"/>
          <w:szCs w:val="22"/>
        </w:rPr>
        <w:t xml:space="preserve">; </w:t>
      </w:r>
      <w:r w:rsidR="00DD1705" w:rsidRPr="000B2B12">
        <w:rPr>
          <w:rFonts w:ascii="Book Antiqua" w:eastAsia="Garamond" w:hAnsi="Book Antiqua" w:cs="Garamond"/>
          <w:sz w:val="22"/>
          <w:szCs w:val="22"/>
        </w:rPr>
        <w:t>CEGES-SOMA (Bruxelles)</w:t>
      </w:r>
      <w:r w:rsidRPr="000B2B12">
        <w:rPr>
          <w:rFonts w:ascii="Book Antiqua" w:eastAsia="Garamond" w:hAnsi="Book Antiqua" w:cs="Garamond"/>
          <w:sz w:val="22"/>
          <w:szCs w:val="22"/>
        </w:rPr>
        <w:t xml:space="preserve"> ; </w:t>
      </w:r>
      <w:r w:rsidR="00DD1705" w:rsidRPr="000B2B12">
        <w:rPr>
          <w:rFonts w:ascii="Book Antiqua" w:eastAsia="Garamond" w:hAnsi="Book Antiqua" w:cs="Garamond"/>
          <w:sz w:val="22"/>
          <w:szCs w:val="22"/>
        </w:rPr>
        <w:t>Archives générales du Royaume Archives diplomatiques du SPF Affaires étrangères (consulats en France)</w:t>
      </w:r>
      <w:r w:rsidRPr="000B2B12">
        <w:rPr>
          <w:rFonts w:ascii="Book Antiqua" w:eastAsia="Garamond" w:hAnsi="Book Antiqua" w:cs="Garamond"/>
          <w:sz w:val="22"/>
          <w:szCs w:val="22"/>
        </w:rPr>
        <w:t xml:space="preserve"> ; </w:t>
      </w:r>
      <w:proofErr w:type="spellStart"/>
      <w:r w:rsidR="00DF6131" w:rsidRPr="000B2B12">
        <w:rPr>
          <w:rFonts w:ascii="Book Antiqua" w:hAnsi="Book Antiqua"/>
          <w:sz w:val="22"/>
          <w:szCs w:val="22"/>
        </w:rPr>
        <w:t>Arolsen</w:t>
      </w:r>
      <w:proofErr w:type="spellEnd"/>
      <w:r w:rsidR="00DF6131" w:rsidRPr="000B2B12">
        <w:rPr>
          <w:rFonts w:ascii="Book Antiqua" w:hAnsi="Book Antiqua"/>
          <w:sz w:val="22"/>
          <w:szCs w:val="22"/>
        </w:rPr>
        <w:t xml:space="preserve"> Archives (International Tracing Service, Bad </w:t>
      </w:r>
      <w:proofErr w:type="spellStart"/>
      <w:r w:rsidR="00DF6131" w:rsidRPr="000B2B12">
        <w:rPr>
          <w:rFonts w:ascii="Book Antiqua" w:hAnsi="Book Antiqua"/>
          <w:sz w:val="22"/>
          <w:szCs w:val="22"/>
        </w:rPr>
        <w:t>Arolsen</w:t>
      </w:r>
      <w:proofErr w:type="spellEnd"/>
      <w:r w:rsidR="00DF6131" w:rsidRPr="000B2B12">
        <w:rPr>
          <w:rFonts w:ascii="Book Antiqua" w:hAnsi="Book Antiqua"/>
          <w:sz w:val="22"/>
          <w:szCs w:val="22"/>
        </w:rPr>
        <w:t>)</w:t>
      </w:r>
      <w:r w:rsidRPr="000B2B12">
        <w:rPr>
          <w:rFonts w:ascii="Book Antiqua" w:hAnsi="Book Antiqua"/>
          <w:sz w:val="22"/>
          <w:szCs w:val="22"/>
        </w:rPr>
        <w:t xml:space="preserve"> ; </w:t>
      </w:r>
      <w:r w:rsidR="00FD469F" w:rsidRPr="000B2B12">
        <w:rPr>
          <w:rFonts w:ascii="Book Antiqua" w:hAnsi="Book Antiqua"/>
          <w:sz w:val="22"/>
          <w:szCs w:val="22"/>
        </w:rPr>
        <w:t>Archives de l’UNRRA (ONU, New-York), OIR (Archives nationales, Paris), Archives du HCR (Genève), Archives du CIR (Archives nationales, Paris)</w:t>
      </w:r>
      <w:r w:rsidRPr="000B2B12">
        <w:rPr>
          <w:rFonts w:ascii="Book Antiqua" w:hAnsi="Book Antiqua"/>
          <w:sz w:val="22"/>
          <w:szCs w:val="22"/>
        </w:rPr>
        <w:t xml:space="preserve"> ; </w:t>
      </w:r>
      <w:r w:rsidR="00FD469F" w:rsidRPr="000B2B12">
        <w:rPr>
          <w:rFonts w:ascii="Book Antiqua" w:hAnsi="Book Antiqua"/>
          <w:sz w:val="22"/>
          <w:szCs w:val="22"/>
        </w:rPr>
        <w:t>Archives de la CR française (AN Pierrefitte) ; Archives du CICR (Genève) ; témoignages écrits et oraux ; archives privées des associations de secours et d’entraide.</w:t>
      </w:r>
      <w:r w:rsidR="00FD469F" w:rsidRPr="006D0C85">
        <w:rPr>
          <w:rFonts w:ascii="Book Antiqua" w:hAnsi="Book Antiqua"/>
          <w:sz w:val="22"/>
          <w:szCs w:val="22"/>
        </w:rPr>
        <w:t xml:space="preserve"> </w:t>
      </w:r>
    </w:p>
    <w:p w14:paraId="5A229314" w14:textId="77777777" w:rsidR="00A84BF0" w:rsidRPr="000B2B12" w:rsidRDefault="00A84BF0" w:rsidP="002F2656">
      <w:pPr>
        <w:pStyle w:val="Titre1"/>
        <w:jc w:val="both"/>
        <w:rPr>
          <w:rFonts w:ascii="Book Antiqua" w:hAnsi="Book Antiqua"/>
          <w:color w:val="auto"/>
          <w:sz w:val="22"/>
          <w:szCs w:val="22"/>
        </w:rPr>
      </w:pPr>
    </w:p>
    <w:p w14:paraId="036D4EEC" w14:textId="77777777" w:rsidR="00A25A33" w:rsidRPr="002F2656" w:rsidRDefault="00A25A33" w:rsidP="002F2656">
      <w:pPr>
        <w:pStyle w:val="Titre2"/>
        <w:jc w:val="both"/>
        <w:rPr>
          <w:rFonts w:ascii="Book Antiqua" w:hAnsi="Book Antiqua"/>
          <w:sz w:val="22"/>
          <w:szCs w:val="22"/>
        </w:rPr>
      </w:pPr>
    </w:p>
    <w:p w14:paraId="0FB51A40" w14:textId="5C249B79" w:rsidR="003A13BA" w:rsidRPr="00772E58" w:rsidRDefault="00784DB9" w:rsidP="002F2656">
      <w:pPr>
        <w:pStyle w:val="Titre2"/>
        <w:jc w:val="both"/>
        <w:rPr>
          <w:rFonts w:ascii="Book Antiqua" w:hAnsi="Book Antiqua"/>
          <w:sz w:val="24"/>
          <w:szCs w:val="24"/>
        </w:rPr>
      </w:pPr>
      <w:r w:rsidRPr="00772E58">
        <w:rPr>
          <w:rFonts w:ascii="Book Antiqua" w:hAnsi="Book Antiqua"/>
          <w:sz w:val="24"/>
          <w:szCs w:val="24"/>
        </w:rPr>
        <w:t>Direction de la thèse</w:t>
      </w:r>
    </w:p>
    <w:p w14:paraId="6C13012C" w14:textId="77777777" w:rsidR="00772E58" w:rsidRPr="002F2656" w:rsidRDefault="00772E58" w:rsidP="002F2656">
      <w:pPr>
        <w:pStyle w:val="Titre2"/>
        <w:jc w:val="both"/>
        <w:rPr>
          <w:rFonts w:ascii="Book Antiqua" w:hAnsi="Book Antiqua"/>
          <w:sz w:val="22"/>
          <w:szCs w:val="22"/>
        </w:rPr>
      </w:pPr>
    </w:p>
    <w:p w14:paraId="31BCD12F" w14:textId="77777777" w:rsidR="003A13BA" w:rsidRPr="002F2656" w:rsidRDefault="00784DB9" w:rsidP="002F2656">
      <w:pPr>
        <w:pStyle w:val="Paragraphedeliste"/>
        <w:numPr>
          <w:ilvl w:val="0"/>
          <w:numId w:val="1"/>
        </w:numPr>
        <w:jc w:val="both"/>
        <w:rPr>
          <w:rFonts w:ascii="Book Antiqua" w:hAnsi="Book Antiqua"/>
          <w:sz w:val="22"/>
          <w:szCs w:val="22"/>
        </w:rPr>
      </w:pPr>
      <w:r w:rsidRPr="00784DB9">
        <w:rPr>
          <w:rFonts w:ascii="Book Antiqua" w:hAnsi="Book Antiqua"/>
          <w:b/>
          <w:bCs/>
          <w:sz w:val="22"/>
          <w:szCs w:val="22"/>
        </w:rPr>
        <w:t xml:space="preserve">Gaël </w:t>
      </w:r>
      <w:proofErr w:type="spellStart"/>
      <w:r w:rsidRPr="00784DB9">
        <w:rPr>
          <w:rFonts w:ascii="Book Antiqua" w:hAnsi="Book Antiqua"/>
          <w:b/>
          <w:bCs/>
          <w:sz w:val="22"/>
          <w:szCs w:val="22"/>
        </w:rPr>
        <w:t>Eismann</w:t>
      </w:r>
      <w:proofErr w:type="spellEnd"/>
      <w:r w:rsidRPr="002F2656">
        <w:rPr>
          <w:rFonts w:ascii="Book Antiqua" w:hAnsi="Book Antiqua"/>
          <w:sz w:val="22"/>
          <w:szCs w:val="22"/>
        </w:rPr>
        <w:t xml:space="preserve">, professeure d'histoire contemporaine, Université de Caen Normandie, </w:t>
      </w:r>
      <w:proofErr w:type="spellStart"/>
      <w:r w:rsidRPr="002F2656">
        <w:rPr>
          <w:rFonts w:ascii="Book Antiqua" w:hAnsi="Book Antiqua"/>
          <w:sz w:val="22"/>
          <w:szCs w:val="22"/>
        </w:rPr>
        <w:t>HisTeMé</w:t>
      </w:r>
      <w:proofErr w:type="spellEnd"/>
      <w:r w:rsidRPr="002F2656">
        <w:rPr>
          <w:rFonts w:ascii="Book Antiqua" w:hAnsi="Book Antiqua"/>
          <w:sz w:val="22"/>
          <w:szCs w:val="22"/>
        </w:rPr>
        <w:t xml:space="preserve"> (UR 7455), codirectrice de l'axe « Paix, conflits et violences », responsable du Programme Seconde Guerre mondiale de la MRSH et porteuse du projet ENSOHM 39-45+.</w:t>
      </w:r>
    </w:p>
    <w:p w14:paraId="33B1B9F0" w14:textId="7163FCE9" w:rsidR="003A13BA" w:rsidRPr="002F2656" w:rsidRDefault="00784DB9" w:rsidP="002F2656">
      <w:pPr>
        <w:pStyle w:val="Paragraphedeliste"/>
        <w:numPr>
          <w:ilvl w:val="0"/>
          <w:numId w:val="1"/>
        </w:numPr>
        <w:jc w:val="both"/>
        <w:rPr>
          <w:rFonts w:ascii="Book Antiqua" w:hAnsi="Book Antiqua"/>
          <w:sz w:val="22"/>
          <w:szCs w:val="22"/>
        </w:rPr>
      </w:pPr>
      <w:proofErr w:type="spellStart"/>
      <w:r w:rsidRPr="00784DB9">
        <w:rPr>
          <w:rFonts w:ascii="Book Antiqua" w:hAnsi="Book Antiqua"/>
          <w:b/>
          <w:bCs/>
          <w:sz w:val="22"/>
          <w:szCs w:val="22"/>
        </w:rPr>
        <w:t>Dzovinar</w:t>
      </w:r>
      <w:proofErr w:type="spellEnd"/>
      <w:r w:rsidRPr="00784DB9">
        <w:rPr>
          <w:rFonts w:ascii="Book Antiqua" w:hAnsi="Book Antiqua"/>
          <w:b/>
          <w:bCs/>
          <w:sz w:val="22"/>
          <w:szCs w:val="22"/>
        </w:rPr>
        <w:t xml:space="preserve"> </w:t>
      </w:r>
      <w:proofErr w:type="spellStart"/>
      <w:r w:rsidRPr="00784DB9">
        <w:rPr>
          <w:rFonts w:ascii="Book Antiqua" w:hAnsi="Book Antiqua"/>
          <w:b/>
          <w:bCs/>
          <w:sz w:val="22"/>
          <w:szCs w:val="22"/>
        </w:rPr>
        <w:t>K</w:t>
      </w:r>
      <w:r w:rsidR="00772E58" w:rsidRPr="00784DB9">
        <w:rPr>
          <w:rFonts w:ascii="Book Antiqua" w:hAnsi="Book Antiqua"/>
          <w:b/>
          <w:bCs/>
          <w:sz w:val="22"/>
          <w:szCs w:val="22"/>
        </w:rPr>
        <w:t>é</w:t>
      </w:r>
      <w:r w:rsidRPr="00784DB9">
        <w:rPr>
          <w:rFonts w:ascii="Book Antiqua" w:hAnsi="Book Antiqua"/>
          <w:b/>
          <w:bCs/>
          <w:sz w:val="22"/>
          <w:szCs w:val="22"/>
        </w:rPr>
        <w:t>vonian</w:t>
      </w:r>
      <w:proofErr w:type="spellEnd"/>
      <w:r w:rsidRPr="002F2656">
        <w:rPr>
          <w:rFonts w:ascii="Book Antiqua" w:hAnsi="Book Antiqua"/>
          <w:sz w:val="22"/>
          <w:szCs w:val="22"/>
        </w:rPr>
        <w:t>, professeure d'histoire contemporaine, Université de Caen Normandie, directrice adjointe d'</w:t>
      </w:r>
      <w:proofErr w:type="spellStart"/>
      <w:r w:rsidRPr="002F2656">
        <w:rPr>
          <w:rFonts w:ascii="Book Antiqua" w:hAnsi="Book Antiqua"/>
          <w:sz w:val="22"/>
          <w:szCs w:val="22"/>
        </w:rPr>
        <w:t>HisTeMé</w:t>
      </w:r>
      <w:proofErr w:type="spellEnd"/>
      <w:r w:rsidRPr="002F2656">
        <w:rPr>
          <w:rFonts w:ascii="Book Antiqua" w:hAnsi="Book Antiqua"/>
          <w:sz w:val="22"/>
          <w:szCs w:val="22"/>
        </w:rPr>
        <w:t xml:space="preserve"> (UR 7455), </w:t>
      </w:r>
      <w:proofErr w:type="spellStart"/>
      <w:r w:rsidRPr="002F2656">
        <w:rPr>
          <w:rFonts w:ascii="Book Antiqua" w:hAnsi="Book Antiqua"/>
          <w:sz w:val="22"/>
          <w:szCs w:val="22"/>
        </w:rPr>
        <w:t>Fellow</w:t>
      </w:r>
      <w:proofErr w:type="spellEnd"/>
      <w:r w:rsidRPr="002F2656">
        <w:rPr>
          <w:rFonts w:ascii="Book Antiqua" w:hAnsi="Book Antiqua"/>
          <w:sz w:val="22"/>
          <w:szCs w:val="22"/>
        </w:rPr>
        <w:t xml:space="preserve"> de l'Institut Convergences Migrations, spécialiste de l'histoire des migrations, des réfugiés et des organisations internationales.</w:t>
      </w:r>
    </w:p>
    <w:p w14:paraId="6EC45B4C" w14:textId="77777777" w:rsidR="00A25A33" w:rsidRPr="002F2656" w:rsidRDefault="00A25A33" w:rsidP="002F2656">
      <w:pPr>
        <w:pStyle w:val="Titre2"/>
        <w:jc w:val="both"/>
        <w:rPr>
          <w:rFonts w:ascii="Book Antiqua" w:hAnsi="Book Antiqua"/>
          <w:sz w:val="22"/>
          <w:szCs w:val="22"/>
        </w:rPr>
      </w:pPr>
    </w:p>
    <w:p w14:paraId="4436F910" w14:textId="4DC3E210" w:rsidR="003A13BA" w:rsidRPr="00772E58" w:rsidRDefault="00784DB9" w:rsidP="002F2656">
      <w:pPr>
        <w:pStyle w:val="Titre2"/>
        <w:jc w:val="both"/>
        <w:rPr>
          <w:rFonts w:ascii="Book Antiqua" w:hAnsi="Book Antiqua"/>
          <w:sz w:val="24"/>
          <w:szCs w:val="24"/>
        </w:rPr>
      </w:pPr>
      <w:r w:rsidRPr="00772E58">
        <w:rPr>
          <w:rFonts w:ascii="Book Antiqua" w:hAnsi="Book Antiqua"/>
          <w:sz w:val="24"/>
          <w:szCs w:val="24"/>
        </w:rPr>
        <w:lastRenderedPageBreak/>
        <w:t>Profil recherché</w:t>
      </w:r>
    </w:p>
    <w:p w14:paraId="4C90D1F0" w14:textId="77777777" w:rsidR="00772E58" w:rsidRPr="002F2656" w:rsidRDefault="00772E58" w:rsidP="002F2656">
      <w:pPr>
        <w:pStyle w:val="Titre2"/>
        <w:jc w:val="both"/>
        <w:rPr>
          <w:rFonts w:ascii="Book Antiqua" w:hAnsi="Book Antiqua"/>
          <w:sz w:val="22"/>
          <w:szCs w:val="22"/>
        </w:rPr>
      </w:pPr>
    </w:p>
    <w:p w14:paraId="0BFDC297" w14:textId="65849ED8" w:rsidR="003A13BA" w:rsidRDefault="00784DB9" w:rsidP="002F2656">
      <w:pPr>
        <w:jc w:val="both"/>
        <w:rPr>
          <w:rFonts w:ascii="Book Antiqua" w:hAnsi="Book Antiqua"/>
          <w:sz w:val="22"/>
          <w:szCs w:val="22"/>
        </w:rPr>
      </w:pPr>
      <w:r w:rsidRPr="002F2656">
        <w:rPr>
          <w:rFonts w:ascii="Book Antiqua" w:hAnsi="Book Antiqua"/>
          <w:sz w:val="22"/>
          <w:szCs w:val="22"/>
        </w:rPr>
        <w:t xml:space="preserve">Le/la candidat(e) devra être titulaire d'un Master de recherche en Histoire contemporaine, de préférence avec mention. Une expertise ou un intérêt marqué pour l'histoire des migrations, des réfugiés et des organisations internationales, pour l'histoire de la Seconde Guerre mondiale et des occupations, ou pour </w:t>
      </w:r>
      <w:r w:rsidR="00772E58">
        <w:rPr>
          <w:rFonts w:ascii="Book Antiqua" w:hAnsi="Book Antiqua"/>
          <w:sz w:val="22"/>
          <w:szCs w:val="22"/>
        </w:rPr>
        <w:t>l’histoire sociale des sociétés et mobilités</w:t>
      </w:r>
      <w:r w:rsidRPr="002F2656">
        <w:rPr>
          <w:rFonts w:ascii="Book Antiqua" w:hAnsi="Book Antiqua"/>
          <w:sz w:val="22"/>
          <w:szCs w:val="22"/>
        </w:rPr>
        <w:t>. Une bonne maîtrise du français est requise ; la connaissance de l'allemand, de l'anglais ou de l'espagnol sera appréciée compte tenu de la dimension européenne et transnationale du projet.</w:t>
      </w:r>
    </w:p>
    <w:p w14:paraId="64DC9A22" w14:textId="77777777" w:rsidR="00772E58" w:rsidRPr="002F2656" w:rsidRDefault="00772E58" w:rsidP="002F2656">
      <w:pPr>
        <w:jc w:val="both"/>
        <w:rPr>
          <w:rFonts w:ascii="Book Antiqua" w:hAnsi="Book Antiqua"/>
          <w:sz w:val="22"/>
          <w:szCs w:val="22"/>
        </w:rPr>
      </w:pPr>
    </w:p>
    <w:p w14:paraId="211EE44A" w14:textId="77777777" w:rsidR="003A13BA" w:rsidRPr="00772E58" w:rsidRDefault="00784DB9" w:rsidP="002F2656">
      <w:pPr>
        <w:pStyle w:val="Titre2"/>
        <w:jc w:val="both"/>
        <w:rPr>
          <w:rFonts w:ascii="Book Antiqua" w:hAnsi="Book Antiqua"/>
          <w:sz w:val="24"/>
          <w:szCs w:val="24"/>
        </w:rPr>
      </w:pPr>
      <w:r w:rsidRPr="00772E58">
        <w:rPr>
          <w:rFonts w:ascii="Book Antiqua" w:hAnsi="Book Antiqua"/>
          <w:sz w:val="24"/>
          <w:szCs w:val="24"/>
        </w:rPr>
        <w:t>Composition du dossier de candidature</w:t>
      </w:r>
    </w:p>
    <w:p w14:paraId="135AC12A" w14:textId="77777777" w:rsidR="00772E58" w:rsidRPr="002F2656" w:rsidRDefault="00772E58" w:rsidP="002F2656">
      <w:pPr>
        <w:pStyle w:val="Titre2"/>
        <w:jc w:val="both"/>
        <w:rPr>
          <w:rFonts w:ascii="Book Antiqua" w:hAnsi="Book Antiqua"/>
          <w:sz w:val="22"/>
          <w:szCs w:val="22"/>
        </w:rPr>
      </w:pPr>
    </w:p>
    <w:p w14:paraId="39289EA9" w14:textId="77777777" w:rsidR="003A13BA" w:rsidRPr="002F2656" w:rsidRDefault="00784DB9" w:rsidP="002F2656">
      <w:pPr>
        <w:jc w:val="both"/>
        <w:rPr>
          <w:rFonts w:ascii="Book Antiqua" w:hAnsi="Book Antiqua"/>
          <w:sz w:val="22"/>
          <w:szCs w:val="22"/>
        </w:rPr>
      </w:pPr>
      <w:r w:rsidRPr="002F2656">
        <w:rPr>
          <w:rFonts w:ascii="Book Antiqua" w:hAnsi="Book Antiqua"/>
          <w:sz w:val="22"/>
          <w:szCs w:val="22"/>
        </w:rPr>
        <w:t>Le dossier de candidature (en français) comprendra obligatoirement :</w:t>
      </w:r>
    </w:p>
    <w:p w14:paraId="665B8093" w14:textId="77777777" w:rsidR="003A13BA" w:rsidRPr="002F2656" w:rsidRDefault="00784DB9" w:rsidP="002F2656">
      <w:pPr>
        <w:pStyle w:val="Paragraphedeliste"/>
        <w:numPr>
          <w:ilvl w:val="0"/>
          <w:numId w:val="1"/>
        </w:numPr>
        <w:jc w:val="both"/>
        <w:rPr>
          <w:rFonts w:ascii="Book Antiqua" w:hAnsi="Book Antiqua"/>
          <w:sz w:val="22"/>
          <w:szCs w:val="22"/>
        </w:rPr>
      </w:pPr>
      <w:r w:rsidRPr="002F2656">
        <w:rPr>
          <w:rFonts w:ascii="Book Antiqua" w:hAnsi="Book Antiqua"/>
          <w:sz w:val="22"/>
          <w:szCs w:val="22"/>
        </w:rPr>
        <w:t>Un projet de thèse correspondant aux attendus de l'appel à candidature (10 000 signes maximum, espaces non compris et hors bibliographie indicative d'une page) ;</w:t>
      </w:r>
    </w:p>
    <w:p w14:paraId="5F6076AB" w14:textId="77777777" w:rsidR="003A13BA" w:rsidRPr="002F2656" w:rsidRDefault="00784DB9" w:rsidP="002F2656">
      <w:pPr>
        <w:pStyle w:val="Paragraphedeliste"/>
        <w:numPr>
          <w:ilvl w:val="0"/>
          <w:numId w:val="1"/>
        </w:numPr>
        <w:jc w:val="both"/>
        <w:rPr>
          <w:rFonts w:ascii="Book Antiqua" w:hAnsi="Book Antiqua"/>
          <w:sz w:val="22"/>
          <w:szCs w:val="22"/>
        </w:rPr>
      </w:pPr>
      <w:r w:rsidRPr="002F2656">
        <w:rPr>
          <w:rFonts w:ascii="Book Antiqua" w:hAnsi="Book Antiqua"/>
          <w:sz w:val="22"/>
          <w:szCs w:val="22"/>
        </w:rPr>
        <w:t>Un CV détaillé mettant en évidence toute expérience en lien avec le profil et les thématiques de l'appel, ainsi que les compétences linguistiques du ou de la candidat(e) ;</w:t>
      </w:r>
    </w:p>
    <w:p w14:paraId="12B57436" w14:textId="77777777" w:rsidR="003A13BA" w:rsidRPr="002F2656" w:rsidRDefault="00784DB9" w:rsidP="002F2656">
      <w:pPr>
        <w:pStyle w:val="Paragraphedeliste"/>
        <w:numPr>
          <w:ilvl w:val="0"/>
          <w:numId w:val="1"/>
        </w:numPr>
        <w:jc w:val="both"/>
        <w:rPr>
          <w:rFonts w:ascii="Book Antiqua" w:hAnsi="Book Antiqua"/>
          <w:sz w:val="22"/>
          <w:szCs w:val="22"/>
        </w:rPr>
      </w:pPr>
      <w:r w:rsidRPr="002F2656">
        <w:rPr>
          <w:rFonts w:ascii="Book Antiqua" w:hAnsi="Book Antiqua"/>
          <w:sz w:val="22"/>
          <w:szCs w:val="22"/>
        </w:rPr>
        <w:t>Une lettre de motivation présentant la manière dont le candidat ou la candidate entend répondre aux enjeux du contrat doctoral proposé ci-dessus ;</w:t>
      </w:r>
    </w:p>
    <w:p w14:paraId="5637F948" w14:textId="11C1DC63" w:rsidR="003A13BA" w:rsidRPr="00772E58" w:rsidRDefault="00784DB9" w:rsidP="002F2656">
      <w:pPr>
        <w:pStyle w:val="Paragraphedeliste"/>
        <w:numPr>
          <w:ilvl w:val="0"/>
          <w:numId w:val="1"/>
        </w:numPr>
        <w:jc w:val="both"/>
        <w:rPr>
          <w:rFonts w:ascii="Book Antiqua" w:hAnsi="Book Antiqua"/>
          <w:sz w:val="22"/>
          <w:szCs w:val="22"/>
        </w:rPr>
      </w:pPr>
      <w:r w:rsidRPr="002F2656">
        <w:rPr>
          <w:rFonts w:ascii="Book Antiqua" w:hAnsi="Book Antiqua"/>
          <w:sz w:val="22"/>
          <w:szCs w:val="22"/>
        </w:rPr>
        <w:t xml:space="preserve">Une copie du diplôme de Master ; ou, le cas échéant, une attestation du directeur/directrice </w:t>
      </w:r>
      <w:r w:rsidRPr="00772E58">
        <w:rPr>
          <w:rFonts w:ascii="Book Antiqua" w:hAnsi="Book Antiqua"/>
          <w:sz w:val="22"/>
          <w:szCs w:val="22"/>
        </w:rPr>
        <w:t>de recherche certifiant que la soutenance interviendra au plus tard le</w:t>
      </w:r>
      <w:r w:rsidR="00772E58" w:rsidRPr="0008179F">
        <w:rPr>
          <w:rFonts w:ascii="Book Antiqua" w:hAnsi="Book Antiqua"/>
          <w:sz w:val="22"/>
          <w:szCs w:val="22"/>
        </w:rPr>
        <w:t xml:space="preserve"> 30 septembre 2026. </w:t>
      </w:r>
    </w:p>
    <w:p w14:paraId="3C632BCE" w14:textId="77777777" w:rsidR="003A13BA" w:rsidRPr="002F2656" w:rsidRDefault="00784DB9" w:rsidP="002F2656">
      <w:pPr>
        <w:pStyle w:val="Paragraphedeliste"/>
        <w:numPr>
          <w:ilvl w:val="0"/>
          <w:numId w:val="1"/>
        </w:numPr>
        <w:jc w:val="both"/>
        <w:rPr>
          <w:rFonts w:ascii="Book Antiqua" w:hAnsi="Book Antiqua"/>
          <w:sz w:val="22"/>
          <w:szCs w:val="22"/>
        </w:rPr>
      </w:pPr>
      <w:r w:rsidRPr="002F2656">
        <w:rPr>
          <w:rFonts w:ascii="Book Antiqua" w:hAnsi="Book Antiqua"/>
          <w:sz w:val="22"/>
          <w:szCs w:val="22"/>
        </w:rPr>
        <w:t>Les relevés de notes de Master ;</w:t>
      </w:r>
    </w:p>
    <w:p w14:paraId="43943FD9" w14:textId="77777777" w:rsidR="003A13BA" w:rsidRPr="002F2656" w:rsidRDefault="00784DB9" w:rsidP="002F2656">
      <w:pPr>
        <w:pStyle w:val="Paragraphedeliste"/>
        <w:numPr>
          <w:ilvl w:val="0"/>
          <w:numId w:val="1"/>
        </w:numPr>
        <w:jc w:val="both"/>
        <w:rPr>
          <w:rFonts w:ascii="Book Antiqua" w:hAnsi="Book Antiqua"/>
          <w:sz w:val="22"/>
          <w:szCs w:val="22"/>
        </w:rPr>
      </w:pPr>
      <w:r w:rsidRPr="002F2656">
        <w:rPr>
          <w:rFonts w:ascii="Book Antiqua" w:hAnsi="Book Antiqua"/>
          <w:sz w:val="22"/>
          <w:szCs w:val="22"/>
        </w:rPr>
        <w:t>Un résumé de 5 000 signes du mémoire de Master ;</w:t>
      </w:r>
    </w:p>
    <w:p w14:paraId="296242A6" w14:textId="77777777" w:rsidR="003A13BA" w:rsidRPr="002F2656" w:rsidRDefault="00784DB9" w:rsidP="002F2656">
      <w:pPr>
        <w:pStyle w:val="Paragraphedeliste"/>
        <w:numPr>
          <w:ilvl w:val="0"/>
          <w:numId w:val="1"/>
        </w:numPr>
        <w:jc w:val="both"/>
        <w:rPr>
          <w:rFonts w:ascii="Book Antiqua" w:hAnsi="Book Antiqua"/>
          <w:sz w:val="22"/>
          <w:szCs w:val="22"/>
        </w:rPr>
      </w:pPr>
      <w:r w:rsidRPr="002F2656">
        <w:rPr>
          <w:rFonts w:ascii="Book Antiqua" w:hAnsi="Book Antiqua"/>
          <w:sz w:val="22"/>
          <w:szCs w:val="22"/>
        </w:rPr>
        <w:t>Deux lettres de recommandation (ou nom, position et adresse e-mail de deux personnes susceptibles de recommander la candidature) ;</w:t>
      </w:r>
    </w:p>
    <w:p w14:paraId="39A3937A" w14:textId="77777777" w:rsidR="003A13BA" w:rsidRPr="002F2656" w:rsidRDefault="00784DB9" w:rsidP="002F2656">
      <w:pPr>
        <w:pStyle w:val="Paragraphedeliste"/>
        <w:numPr>
          <w:ilvl w:val="0"/>
          <w:numId w:val="1"/>
        </w:numPr>
        <w:jc w:val="both"/>
        <w:rPr>
          <w:rFonts w:ascii="Book Antiqua" w:hAnsi="Book Antiqua"/>
          <w:sz w:val="22"/>
          <w:szCs w:val="22"/>
        </w:rPr>
      </w:pPr>
      <w:r w:rsidRPr="002F2656">
        <w:rPr>
          <w:rFonts w:ascii="Book Antiqua" w:hAnsi="Book Antiqua"/>
          <w:sz w:val="22"/>
          <w:szCs w:val="22"/>
        </w:rPr>
        <w:t>Un exemple de production écrite individuelle (article, communication, chapitre de mémoire de master).</w:t>
      </w:r>
    </w:p>
    <w:p w14:paraId="535D7980" w14:textId="77777777" w:rsidR="003A13BA" w:rsidRPr="002F2656" w:rsidRDefault="00784DB9" w:rsidP="002F2656">
      <w:pPr>
        <w:jc w:val="both"/>
        <w:rPr>
          <w:rFonts w:ascii="Book Antiqua" w:hAnsi="Book Antiqua"/>
          <w:sz w:val="22"/>
          <w:szCs w:val="22"/>
        </w:rPr>
      </w:pPr>
      <w:r w:rsidRPr="002F2656">
        <w:rPr>
          <w:rFonts w:ascii="Book Antiqua" w:hAnsi="Book Antiqua"/>
          <w:sz w:val="22"/>
          <w:szCs w:val="22"/>
        </w:rPr>
        <w:t xml:space="preserve">Pour tout renseignement concernant la candidature, merci d'écrire à </w:t>
      </w:r>
      <w:hyperlink r:id="rId8" w:history="1">
        <w:r w:rsidR="003A13BA" w:rsidRPr="002F2656">
          <w:rPr>
            <w:rFonts w:ascii="Book Antiqua" w:hAnsi="Book Antiqua"/>
            <w:color w:val="0563C1"/>
            <w:sz w:val="22"/>
            <w:szCs w:val="22"/>
            <w:u w:val="single"/>
          </w:rPr>
          <w:t>gael.eismann@unicaen.fr</w:t>
        </w:r>
      </w:hyperlink>
      <w:r w:rsidRPr="002F2656">
        <w:rPr>
          <w:rFonts w:ascii="Book Antiqua" w:hAnsi="Book Antiqua"/>
          <w:sz w:val="22"/>
          <w:szCs w:val="22"/>
        </w:rPr>
        <w:t xml:space="preserve"> et </w:t>
      </w:r>
      <w:hyperlink r:id="rId9" w:history="1">
        <w:r w:rsidR="003A13BA" w:rsidRPr="002F2656">
          <w:rPr>
            <w:rFonts w:ascii="Book Antiqua" w:hAnsi="Book Antiqua"/>
            <w:color w:val="0563C1"/>
            <w:sz w:val="22"/>
            <w:szCs w:val="22"/>
            <w:u w:val="single"/>
          </w:rPr>
          <w:t>dzovinar.kevonian@unicaen.fr</w:t>
        </w:r>
      </w:hyperlink>
      <w:r w:rsidRPr="002F2656">
        <w:rPr>
          <w:rFonts w:ascii="Book Antiqua" w:hAnsi="Book Antiqua"/>
          <w:sz w:val="22"/>
          <w:szCs w:val="22"/>
        </w:rPr>
        <w:t>.</w:t>
      </w:r>
    </w:p>
    <w:p w14:paraId="7DBB2D5F" w14:textId="77777777" w:rsidR="00772E58" w:rsidRDefault="00772E58" w:rsidP="002F2656">
      <w:pPr>
        <w:pStyle w:val="Titre2"/>
        <w:jc w:val="both"/>
        <w:rPr>
          <w:rFonts w:ascii="Book Antiqua" w:hAnsi="Book Antiqua"/>
          <w:sz w:val="22"/>
          <w:szCs w:val="22"/>
        </w:rPr>
      </w:pPr>
    </w:p>
    <w:p w14:paraId="440AF698" w14:textId="6FC1ED58" w:rsidR="003A13BA" w:rsidRPr="00772E58" w:rsidRDefault="00784DB9" w:rsidP="002F2656">
      <w:pPr>
        <w:pStyle w:val="Titre2"/>
        <w:jc w:val="both"/>
        <w:rPr>
          <w:rFonts w:ascii="Book Antiqua" w:hAnsi="Book Antiqua"/>
          <w:sz w:val="24"/>
          <w:szCs w:val="24"/>
        </w:rPr>
      </w:pPr>
      <w:r w:rsidRPr="00772E58">
        <w:rPr>
          <w:rFonts w:ascii="Book Antiqua" w:hAnsi="Book Antiqua"/>
          <w:sz w:val="24"/>
          <w:szCs w:val="24"/>
        </w:rPr>
        <w:t>Calendrier</w:t>
      </w:r>
    </w:p>
    <w:p w14:paraId="14E7BD9B" w14:textId="77777777" w:rsidR="00772E58" w:rsidRPr="002F2656" w:rsidRDefault="00772E58" w:rsidP="002F2656">
      <w:pPr>
        <w:pStyle w:val="Titre2"/>
        <w:jc w:val="both"/>
        <w:rPr>
          <w:rFonts w:ascii="Book Antiqua" w:hAnsi="Book Antiqua"/>
          <w:sz w:val="22"/>
          <w:szCs w:val="22"/>
        </w:rPr>
      </w:pPr>
    </w:p>
    <w:p w14:paraId="73A30FEA" w14:textId="4A44A324" w:rsidR="003A13BA" w:rsidRPr="00772E58" w:rsidRDefault="00784DB9" w:rsidP="002F2656">
      <w:pPr>
        <w:jc w:val="both"/>
        <w:rPr>
          <w:rFonts w:ascii="Book Antiqua" w:hAnsi="Book Antiqua"/>
          <w:sz w:val="22"/>
          <w:szCs w:val="22"/>
        </w:rPr>
      </w:pPr>
      <w:r w:rsidRPr="00772E58">
        <w:rPr>
          <w:rFonts w:ascii="Book Antiqua" w:hAnsi="Book Antiqua"/>
          <w:sz w:val="22"/>
          <w:szCs w:val="22"/>
        </w:rPr>
        <w:t xml:space="preserve">Le dossier sera envoyé sous forme numérique, en un seul fichier PDF agrégeant l'ensemble des pièces demandées, avant </w:t>
      </w:r>
      <w:r w:rsidRPr="00772E58">
        <w:rPr>
          <w:rFonts w:ascii="Book Antiqua" w:hAnsi="Book Antiqua"/>
          <w:b/>
          <w:bCs/>
          <w:sz w:val="22"/>
          <w:szCs w:val="22"/>
        </w:rPr>
        <w:t xml:space="preserve">le </w:t>
      </w:r>
      <w:r w:rsidR="000578C6" w:rsidRPr="00772E58">
        <w:rPr>
          <w:rFonts w:ascii="Book Antiqua" w:hAnsi="Book Antiqua"/>
          <w:b/>
          <w:bCs/>
          <w:sz w:val="22"/>
          <w:szCs w:val="22"/>
        </w:rPr>
        <w:t>1</w:t>
      </w:r>
      <w:r w:rsidR="00D2184E">
        <w:rPr>
          <w:rFonts w:ascii="Book Antiqua" w:hAnsi="Book Antiqua"/>
          <w:b/>
          <w:bCs/>
          <w:sz w:val="22"/>
          <w:szCs w:val="22"/>
        </w:rPr>
        <w:t>1</w:t>
      </w:r>
      <w:r w:rsidR="000578C6" w:rsidRPr="00772E58">
        <w:rPr>
          <w:rFonts w:ascii="Book Antiqua" w:hAnsi="Book Antiqua"/>
          <w:b/>
          <w:bCs/>
          <w:sz w:val="22"/>
          <w:szCs w:val="22"/>
        </w:rPr>
        <w:t xml:space="preserve"> septembre 2026</w:t>
      </w:r>
      <w:r w:rsidR="00772E58" w:rsidRPr="00772E58">
        <w:rPr>
          <w:rFonts w:ascii="Book Antiqua" w:hAnsi="Book Antiqua"/>
          <w:b/>
          <w:bCs/>
          <w:sz w:val="22"/>
          <w:szCs w:val="22"/>
        </w:rPr>
        <w:t xml:space="preserve"> à minuit</w:t>
      </w:r>
      <w:r w:rsidR="00772E58">
        <w:rPr>
          <w:rFonts w:ascii="Book Antiqua" w:hAnsi="Book Antiqua"/>
          <w:sz w:val="22"/>
          <w:szCs w:val="22"/>
        </w:rPr>
        <w:t>,</w:t>
      </w:r>
      <w:r w:rsidRPr="00772E58">
        <w:rPr>
          <w:rFonts w:ascii="Book Antiqua" w:hAnsi="Book Antiqua"/>
          <w:sz w:val="22"/>
          <w:szCs w:val="22"/>
        </w:rPr>
        <w:t xml:space="preserve"> aux adresses suivantes</w:t>
      </w:r>
      <w:r w:rsidR="00772E58" w:rsidRPr="00772E58">
        <w:rPr>
          <w:rFonts w:ascii="Book Antiqua" w:hAnsi="Book Antiqua"/>
          <w:sz w:val="22"/>
          <w:szCs w:val="22"/>
        </w:rPr>
        <w:t xml:space="preserve"> : </w:t>
      </w:r>
      <w:hyperlink r:id="rId10" w:history="1">
        <w:r w:rsidR="00772E58" w:rsidRPr="00772E58">
          <w:rPr>
            <w:rStyle w:val="Lienhypertexte"/>
            <w:rFonts w:ascii="Book Antiqua" w:hAnsi="Book Antiqua"/>
            <w:sz w:val="22"/>
            <w:szCs w:val="22"/>
          </w:rPr>
          <w:t>gael.eismann@unicaen.fr</w:t>
        </w:r>
      </w:hyperlink>
      <w:r w:rsidR="00772E58" w:rsidRPr="00772E58">
        <w:rPr>
          <w:rFonts w:ascii="Book Antiqua" w:hAnsi="Book Antiqua"/>
          <w:sz w:val="22"/>
          <w:szCs w:val="22"/>
        </w:rPr>
        <w:t xml:space="preserve"> et </w:t>
      </w:r>
      <w:r w:rsidRPr="00772E58">
        <w:rPr>
          <w:rFonts w:ascii="Book Antiqua" w:hAnsi="Book Antiqua"/>
          <w:sz w:val="22"/>
          <w:szCs w:val="22"/>
        </w:rPr>
        <w:t xml:space="preserve"> </w:t>
      </w:r>
      <w:hyperlink r:id="rId11" w:history="1">
        <w:r w:rsidR="003A13BA" w:rsidRPr="00772E58">
          <w:rPr>
            <w:rFonts w:ascii="Book Antiqua" w:hAnsi="Book Antiqua"/>
            <w:color w:val="0563C1"/>
            <w:sz w:val="22"/>
            <w:szCs w:val="22"/>
            <w:u w:val="single"/>
          </w:rPr>
          <w:t>dzovinar.kevonian@unicaen.fr</w:t>
        </w:r>
      </w:hyperlink>
      <w:r w:rsidRPr="00772E58">
        <w:rPr>
          <w:rFonts w:ascii="Book Antiqua" w:hAnsi="Book Antiqua"/>
          <w:sz w:val="22"/>
          <w:szCs w:val="22"/>
        </w:rPr>
        <w:t xml:space="preserve">. Merci de respecter la nomenclature suivante pour le titre du document : </w:t>
      </w:r>
      <w:r w:rsidRPr="00772E58">
        <w:rPr>
          <w:rFonts w:ascii="Book Antiqua" w:hAnsi="Book Antiqua"/>
          <w:i/>
          <w:iCs/>
          <w:sz w:val="22"/>
          <w:szCs w:val="22"/>
        </w:rPr>
        <w:t>NOM_Prénom_Thèse_ENSOHM_2026.pdf</w:t>
      </w:r>
      <w:r w:rsidRPr="00772E58">
        <w:rPr>
          <w:rFonts w:ascii="Book Antiqua" w:hAnsi="Book Antiqua"/>
          <w:sz w:val="22"/>
          <w:szCs w:val="22"/>
        </w:rPr>
        <w:t>.</w:t>
      </w:r>
    </w:p>
    <w:p w14:paraId="51A67706" w14:textId="77777777" w:rsidR="003A13BA" w:rsidRPr="00772E58" w:rsidRDefault="00784DB9" w:rsidP="002F2656">
      <w:pPr>
        <w:jc w:val="both"/>
        <w:rPr>
          <w:rFonts w:ascii="Book Antiqua" w:hAnsi="Book Antiqua"/>
          <w:sz w:val="22"/>
          <w:szCs w:val="22"/>
        </w:rPr>
      </w:pPr>
      <w:r w:rsidRPr="00772E58">
        <w:rPr>
          <w:rFonts w:ascii="Book Antiqua" w:hAnsi="Book Antiqua"/>
          <w:sz w:val="22"/>
          <w:szCs w:val="22"/>
        </w:rPr>
        <w:t>Les candidatures incomplètes ou hors délai ne seront pas examinées.</w:t>
      </w:r>
    </w:p>
    <w:p w14:paraId="7A30F41F" w14:textId="40959AA7" w:rsidR="003A13BA" w:rsidRDefault="00784DB9" w:rsidP="002F2656">
      <w:pPr>
        <w:jc w:val="both"/>
        <w:rPr>
          <w:rFonts w:ascii="Book Antiqua" w:hAnsi="Book Antiqua"/>
          <w:sz w:val="22"/>
          <w:szCs w:val="22"/>
        </w:rPr>
      </w:pPr>
      <w:r w:rsidRPr="00772E58">
        <w:rPr>
          <w:rFonts w:ascii="Book Antiqua" w:hAnsi="Book Antiqua"/>
          <w:sz w:val="22"/>
          <w:szCs w:val="22"/>
        </w:rPr>
        <w:t>Les candidats et candidates seront informé(e)s de l'issue de la sélection au plus tard le</w:t>
      </w:r>
      <w:r w:rsidR="00D2184E">
        <w:rPr>
          <w:rFonts w:ascii="Book Antiqua" w:hAnsi="Book Antiqua"/>
          <w:sz w:val="22"/>
          <w:szCs w:val="22"/>
        </w:rPr>
        <w:t xml:space="preserve"> 2</w:t>
      </w:r>
      <w:r w:rsidR="000578C6" w:rsidRPr="00772E58">
        <w:rPr>
          <w:rFonts w:ascii="Book Antiqua" w:hAnsi="Book Antiqua"/>
          <w:sz w:val="22"/>
          <w:szCs w:val="22"/>
        </w:rPr>
        <w:t xml:space="preserve"> octobre 2026</w:t>
      </w:r>
      <w:r w:rsidR="00772E58">
        <w:rPr>
          <w:rFonts w:ascii="Book Antiqua" w:hAnsi="Book Antiqua"/>
          <w:sz w:val="22"/>
          <w:szCs w:val="22"/>
        </w:rPr>
        <w:t xml:space="preserve">. </w:t>
      </w:r>
      <w:r w:rsidRPr="00772E58">
        <w:rPr>
          <w:rFonts w:ascii="Book Antiqua" w:hAnsi="Book Antiqua"/>
          <w:sz w:val="22"/>
          <w:szCs w:val="22"/>
        </w:rPr>
        <w:t>Celles et ceux dont le dossier correspond aux attentes de la commission seront convoqué(e)s pour un entretien de recrutement, en visioconférence ou en présentiel, entre le</w:t>
      </w:r>
      <w:r w:rsidR="000578C6" w:rsidRPr="00772E58">
        <w:rPr>
          <w:rFonts w:ascii="Book Antiqua" w:hAnsi="Book Antiqua"/>
          <w:sz w:val="22"/>
          <w:szCs w:val="22"/>
        </w:rPr>
        <w:t xml:space="preserve"> </w:t>
      </w:r>
      <w:r w:rsidR="00D2184E">
        <w:rPr>
          <w:rFonts w:ascii="Book Antiqua" w:hAnsi="Book Antiqua"/>
          <w:sz w:val="22"/>
          <w:szCs w:val="22"/>
        </w:rPr>
        <w:t>5 et le 16</w:t>
      </w:r>
      <w:r w:rsidR="000578C6" w:rsidRPr="00772E58">
        <w:rPr>
          <w:rFonts w:ascii="Book Antiqua" w:hAnsi="Book Antiqua"/>
          <w:sz w:val="22"/>
          <w:szCs w:val="22"/>
        </w:rPr>
        <w:t xml:space="preserve"> octobre 2026.</w:t>
      </w:r>
      <w:r w:rsidR="000578C6" w:rsidRPr="002F2656">
        <w:rPr>
          <w:rFonts w:ascii="Book Antiqua" w:hAnsi="Book Antiqua"/>
          <w:sz w:val="22"/>
          <w:szCs w:val="22"/>
        </w:rPr>
        <w:t xml:space="preserve"> </w:t>
      </w:r>
      <w:r w:rsidRPr="002F2656">
        <w:rPr>
          <w:rFonts w:ascii="Book Antiqua" w:hAnsi="Book Antiqua"/>
          <w:sz w:val="22"/>
          <w:szCs w:val="22"/>
        </w:rPr>
        <w:t xml:space="preserve"> </w:t>
      </w:r>
    </w:p>
    <w:p w14:paraId="573CD6D2" w14:textId="77777777" w:rsidR="00772E58" w:rsidRPr="002F2656" w:rsidRDefault="00772E58" w:rsidP="002F2656">
      <w:pPr>
        <w:jc w:val="both"/>
        <w:rPr>
          <w:rFonts w:ascii="Book Antiqua" w:hAnsi="Book Antiqua"/>
          <w:sz w:val="22"/>
          <w:szCs w:val="22"/>
        </w:rPr>
      </w:pPr>
    </w:p>
    <w:p w14:paraId="43124C63" w14:textId="77777777" w:rsidR="003A13BA" w:rsidRPr="00772E58" w:rsidRDefault="00784DB9" w:rsidP="002F2656">
      <w:pPr>
        <w:pStyle w:val="Titre2"/>
        <w:jc w:val="both"/>
        <w:rPr>
          <w:rFonts w:ascii="Book Antiqua" w:hAnsi="Book Antiqua"/>
          <w:sz w:val="24"/>
          <w:szCs w:val="24"/>
        </w:rPr>
      </w:pPr>
      <w:r w:rsidRPr="00772E58">
        <w:rPr>
          <w:rFonts w:ascii="Book Antiqua" w:hAnsi="Book Antiqua"/>
          <w:sz w:val="24"/>
          <w:szCs w:val="24"/>
        </w:rPr>
        <w:t>Contrat et financement</w:t>
      </w:r>
    </w:p>
    <w:p w14:paraId="2E935E22" w14:textId="77777777" w:rsidR="00772E58" w:rsidRPr="002F2656" w:rsidRDefault="00772E58" w:rsidP="002F2656">
      <w:pPr>
        <w:pStyle w:val="Titre2"/>
        <w:jc w:val="both"/>
        <w:rPr>
          <w:rFonts w:ascii="Book Antiqua" w:hAnsi="Book Antiqua"/>
          <w:sz w:val="22"/>
          <w:szCs w:val="22"/>
        </w:rPr>
      </w:pPr>
    </w:p>
    <w:p w14:paraId="30094702" w14:textId="77777777" w:rsidR="003A13BA" w:rsidRPr="002F2656" w:rsidRDefault="00784DB9" w:rsidP="002F2656">
      <w:pPr>
        <w:jc w:val="both"/>
        <w:rPr>
          <w:rFonts w:ascii="Book Antiqua" w:hAnsi="Book Antiqua"/>
          <w:sz w:val="22"/>
          <w:szCs w:val="22"/>
        </w:rPr>
      </w:pPr>
      <w:r w:rsidRPr="002F2656">
        <w:rPr>
          <w:rFonts w:ascii="Book Antiqua" w:hAnsi="Book Antiqua"/>
          <w:sz w:val="22"/>
          <w:szCs w:val="22"/>
        </w:rPr>
        <w:t>Le contrat relèvera des conditions de statut et d'exercice suivantes :</w:t>
      </w:r>
    </w:p>
    <w:p w14:paraId="6EF5F7C8" w14:textId="77777777" w:rsidR="003A13BA" w:rsidRPr="002F2656" w:rsidRDefault="00784DB9" w:rsidP="002F2656">
      <w:pPr>
        <w:pStyle w:val="Paragraphedeliste"/>
        <w:numPr>
          <w:ilvl w:val="0"/>
          <w:numId w:val="1"/>
        </w:numPr>
        <w:jc w:val="both"/>
        <w:rPr>
          <w:rFonts w:ascii="Book Antiqua" w:hAnsi="Book Antiqua"/>
          <w:sz w:val="22"/>
          <w:szCs w:val="22"/>
        </w:rPr>
      </w:pPr>
      <w:r w:rsidRPr="002F2656">
        <w:rPr>
          <w:rFonts w:ascii="Book Antiqua" w:hAnsi="Book Antiqua"/>
          <w:sz w:val="22"/>
          <w:szCs w:val="22"/>
        </w:rPr>
        <w:t xml:space="preserve">Date de début de contrat : 1er </w:t>
      </w:r>
      <w:r w:rsidR="00875253" w:rsidRPr="002F2656">
        <w:rPr>
          <w:rFonts w:ascii="Book Antiqua" w:hAnsi="Book Antiqua"/>
          <w:sz w:val="22"/>
          <w:szCs w:val="22"/>
        </w:rPr>
        <w:t>novembre</w:t>
      </w:r>
      <w:r w:rsidRPr="002F2656">
        <w:rPr>
          <w:rFonts w:ascii="Book Antiqua" w:hAnsi="Book Antiqua"/>
          <w:sz w:val="22"/>
          <w:szCs w:val="22"/>
        </w:rPr>
        <w:t xml:space="preserve"> 2026.</w:t>
      </w:r>
    </w:p>
    <w:p w14:paraId="6D2FAE9C" w14:textId="77777777" w:rsidR="003A13BA" w:rsidRPr="002F2656" w:rsidRDefault="00784DB9" w:rsidP="002F2656">
      <w:pPr>
        <w:pStyle w:val="Paragraphedeliste"/>
        <w:numPr>
          <w:ilvl w:val="0"/>
          <w:numId w:val="1"/>
        </w:numPr>
        <w:jc w:val="both"/>
        <w:rPr>
          <w:rFonts w:ascii="Book Antiqua" w:hAnsi="Book Antiqua"/>
          <w:sz w:val="22"/>
          <w:szCs w:val="22"/>
        </w:rPr>
      </w:pPr>
      <w:r w:rsidRPr="002F2656">
        <w:rPr>
          <w:rFonts w:ascii="Book Antiqua" w:hAnsi="Book Antiqua"/>
          <w:sz w:val="22"/>
          <w:szCs w:val="22"/>
        </w:rPr>
        <w:t xml:space="preserve">Laboratoire de rattachement : </w:t>
      </w:r>
      <w:proofErr w:type="spellStart"/>
      <w:r w:rsidRPr="002F2656">
        <w:rPr>
          <w:rFonts w:ascii="Book Antiqua" w:hAnsi="Book Antiqua"/>
          <w:sz w:val="22"/>
          <w:szCs w:val="22"/>
        </w:rPr>
        <w:t>HisTeMé</w:t>
      </w:r>
      <w:proofErr w:type="spellEnd"/>
      <w:r w:rsidRPr="002F2656">
        <w:rPr>
          <w:rFonts w:ascii="Book Antiqua" w:hAnsi="Book Antiqua"/>
          <w:sz w:val="22"/>
          <w:szCs w:val="22"/>
        </w:rPr>
        <w:t xml:space="preserve"> (UR 7455), Université de Caen Normandie.</w:t>
      </w:r>
    </w:p>
    <w:p w14:paraId="594A99B8" w14:textId="2E591300" w:rsidR="003A13BA" w:rsidRPr="00772E58" w:rsidRDefault="00784DB9" w:rsidP="002F2656">
      <w:pPr>
        <w:pStyle w:val="Paragraphedeliste"/>
        <w:numPr>
          <w:ilvl w:val="0"/>
          <w:numId w:val="1"/>
        </w:numPr>
        <w:jc w:val="both"/>
        <w:rPr>
          <w:rFonts w:ascii="Book Antiqua" w:hAnsi="Book Antiqua"/>
          <w:sz w:val="22"/>
          <w:szCs w:val="22"/>
        </w:rPr>
      </w:pPr>
      <w:r w:rsidRPr="00772E58">
        <w:rPr>
          <w:rFonts w:ascii="Book Antiqua" w:hAnsi="Book Antiqua"/>
          <w:sz w:val="22"/>
          <w:szCs w:val="22"/>
        </w:rPr>
        <w:t xml:space="preserve">Lieu d'exercice : </w:t>
      </w:r>
      <w:proofErr w:type="spellStart"/>
      <w:r w:rsidR="00875253" w:rsidRPr="00772E58">
        <w:rPr>
          <w:rFonts w:ascii="Book Antiqua" w:hAnsi="Book Antiqua"/>
          <w:sz w:val="22"/>
          <w:szCs w:val="22"/>
        </w:rPr>
        <w:t>HisTeMé</w:t>
      </w:r>
      <w:proofErr w:type="spellEnd"/>
      <w:r w:rsidR="00875253" w:rsidRPr="00772E58">
        <w:rPr>
          <w:rFonts w:ascii="Book Antiqua" w:hAnsi="Book Antiqua"/>
          <w:sz w:val="22"/>
          <w:szCs w:val="22"/>
        </w:rPr>
        <w:t xml:space="preserve"> (UR 7455)</w:t>
      </w:r>
    </w:p>
    <w:p w14:paraId="1DF81C36" w14:textId="77777777" w:rsidR="003A13BA" w:rsidRPr="002F2656" w:rsidRDefault="00784DB9" w:rsidP="002F2656">
      <w:pPr>
        <w:pStyle w:val="Paragraphedeliste"/>
        <w:numPr>
          <w:ilvl w:val="0"/>
          <w:numId w:val="1"/>
        </w:numPr>
        <w:jc w:val="both"/>
        <w:rPr>
          <w:rFonts w:ascii="Book Antiqua" w:hAnsi="Book Antiqua"/>
          <w:sz w:val="22"/>
          <w:szCs w:val="22"/>
        </w:rPr>
      </w:pPr>
      <w:r w:rsidRPr="002F2656">
        <w:rPr>
          <w:rFonts w:ascii="Book Antiqua" w:hAnsi="Book Antiqua"/>
          <w:sz w:val="22"/>
          <w:szCs w:val="22"/>
        </w:rPr>
        <w:t>Statut : contrat doctoral de 36 mois (temps plein, contrat de droit public d'une durée de 3 ans, conformément au décret n° 2009-464 du 23-4-2009).</w:t>
      </w:r>
    </w:p>
    <w:p w14:paraId="525EFA77" w14:textId="77777777" w:rsidR="003A13BA" w:rsidRPr="002F2656" w:rsidRDefault="00784DB9" w:rsidP="002F2656">
      <w:pPr>
        <w:jc w:val="both"/>
        <w:rPr>
          <w:rFonts w:ascii="Book Antiqua" w:hAnsi="Book Antiqua"/>
          <w:sz w:val="22"/>
          <w:szCs w:val="22"/>
        </w:rPr>
      </w:pPr>
      <w:r w:rsidRPr="002F2656">
        <w:rPr>
          <w:rFonts w:ascii="Book Antiqua" w:hAnsi="Book Antiqua"/>
          <w:sz w:val="22"/>
          <w:szCs w:val="22"/>
        </w:rPr>
        <w:t xml:space="preserve">Montant de la rémunération (au 01/01/2026) : rémunération brute 2 300 €/mois. Plus de renseignements : </w:t>
      </w:r>
      <w:hyperlink r:id="rId12" w:history="1">
        <w:r w:rsidR="003A13BA" w:rsidRPr="002F2656">
          <w:rPr>
            <w:rFonts w:ascii="Book Antiqua" w:hAnsi="Book Antiqua"/>
            <w:color w:val="0563C1"/>
            <w:sz w:val="22"/>
            <w:szCs w:val="22"/>
            <w:u w:val="single"/>
          </w:rPr>
          <w:t>https://www.enseignementsup-recherche.gouv.fr/fr/le-financement-doctoral-46472</w:t>
        </w:r>
      </w:hyperlink>
    </w:p>
    <w:p w14:paraId="20BB7F93" w14:textId="77777777" w:rsidR="003A13BA" w:rsidRPr="002F2656" w:rsidRDefault="00784DB9" w:rsidP="002F2656">
      <w:pPr>
        <w:jc w:val="both"/>
        <w:rPr>
          <w:rFonts w:ascii="Book Antiqua" w:hAnsi="Book Antiqua"/>
          <w:sz w:val="22"/>
          <w:szCs w:val="22"/>
        </w:rPr>
      </w:pPr>
      <w:r w:rsidRPr="002F2656">
        <w:rPr>
          <w:rFonts w:ascii="Book Antiqua" w:hAnsi="Book Antiqua"/>
          <w:sz w:val="22"/>
          <w:szCs w:val="22"/>
        </w:rPr>
        <w:lastRenderedPageBreak/>
        <w:t>Activités complémentaires (par ex. enseignements) possibles dans le cadre prévu par la loi et à discuter avec la direction de thèse et le laboratoire.</w:t>
      </w:r>
    </w:p>
    <w:sectPr w:rsidR="003A13BA" w:rsidRPr="002F2656">
      <w:footerReference w:type="even" r:id="rId13"/>
      <w:footerReference w:type="default" r:id="rId14"/>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E731" w14:textId="77777777" w:rsidR="00146612" w:rsidRDefault="00146612" w:rsidP="00214A44">
      <w:r>
        <w:separator/>
      </w:r>
    </w:p>
  </w:endnote>
  <w:endnote w:type="continuationSeparator" w:id="0">
    <w:p w14:paraId="08F62024" w14:textId="77777777" w:rsidR="00146612" w:rsidRDefault="00146612" w:rsidP="0021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623773110"/>
      <w:docPartObj>
        <w:docPartGallery w:val="Page Numbers (Bottom of Page)"/>
        <w:docPartUnique/>
      </w:docPartObj>
    </w:sdtPr>
    <w:sdtEndPr>
      <w:rPr>
        <w:rStyle w:val="Numrodepage"/>
      </w:rPr>
    </w:sdtEndPr>
    <w:sdtContent>
      <w:p w14:paraId="3CE6D3BB" w14:textId="77777777" w:rsidR="00214A44" w:rsidRDefault="00214A44" w:rsidP="008777E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E557A08" w14:textId="77777777" w:rsidR="00214A44" w:rsidRDefault="00214A44" w:rsidP="00214A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512795013"/>
      <w:docPartObj>
        <w:docPartGallery w:val="Page Numbers (Bottom of Page)"/>
        <w:docPartUnique/>
      </w:docPartObj>
    </w:sdtPr>
    <w:sdtEndPr>
      <w:rPr>
        <w:rStyle w:val="Numrodepage"/>
      </w:rPr>
    </w:sdtEndPr>
    <w:sdtContent>
      <w:p w14:paraId="5C733AEC" w14:textId="77777777" w:rsidR="00214A44" w:rsidRDefault="00214A44" w:rsidP="008777E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4BA84AFF" w14:textId="77777777" w:rsidR="00214A44" w:rsidRDefault="00214A44" w:rsidP="00214A4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94B91" w14:textId="77777777" w:rsidR="00146612" w:rsidRDefault="00146612" w:rsidP="00214A44">
      <w:r>
        <w:separator/>
      </w:r>
    </w:p>
  </w:footnote>
  <w:footnote w:type="continuationSeparator" w:id="0">
    <w:p w14:paraId="538D61AD" w14:textId="77777777" w:rsidR="00146612" w:rsidRDefault="00146612" w:rsidP="00214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4CB0"/>
    <w:multiLevelType w:val="hybridMultilevel"/>
    <w:tmpl w:val="A872CF6A"/>
    <w:lvl w:ilvl="0" w:tplc="B4F008DE">
      <w:start w:val="1"/>
      <w:numFmt w:val="bullet"/>
      <w:lvlText w:val="▪"/>
      <w:lvlJc w:val="left"/>
      <w:pPr>
        <w:ind w:left="480" w:hanging="240"/>
      </w:pPr>
    </w:lvl>
    <w:lvl w:ilvl="1" w:tplc="66E4C046">
      <w:numFmt w:val="decimal"/>
      <w:lvlText w:val=""/>
      <w:lvlJc w:val="left"/>
    </w:lvl>
    <w:lvl w:ilvl="2" w:tplc="AD7AD3C6">
      <w:numFmt w:val="decimal"/>
      <w:lvlText w:val=""/>
      <w:lvlJc w:val="left"/>
    </w:lvl>
    <w:lvl w:ilvl="3" w:tplc="04685684">
      <w:numFmt w:val="decimal"/>
      <w:lvlText w:val=""/>
      <w:lvlJc w:val="left"/>
    </w:lvl>
    <w:lvl w:ilvl="4" w:tplc="5D7A6FE4">
      <w:numFmt w:val="decimal"/>
      <w:lvlText w:val=""/>
      <w:lvlJc w:val="left"/>
    </w:lvl>
    <w:lvl w:ilvl="5" w:tplc="FF701584">
      <w:numFmt w:val="decimal"/>
      <w:lvlText w:val=""/>
      <w:lvlJc w:val="left"/>
    </w:lvl>
    <w:lvl w:ilvl="6" w:tplc="A9C6A358">
      <w:numFmt w:val="decimal"/>
      <w:lvlText w:val=""/>
      <w:lvlJc w:val="left"/>
    </w:lvl>
    <w:lvl w:ilvl="7" w:tplc="E786B85E">
      <w:numFmt w:val="decimal"/>
      <w:lvlText w:val=""/>
      <w:lvlJc w:val="left"/>
    </w:lvl>
    <w:lvl w:ilvl="8" w:tplc="7F86DAEE">
      <w:numFmt w:val="decimal"/>
      <w:lvlText w:val=""/>
      <w:lvlJc w:val="left"/>
    </w:lvl>
  </w:abstractNum>
  <w:abstractNum w:abstractNumId="1" w15:restartNumberingAfterBreak="0">
    <w:nsid w:val="08BD5F82"/>
    <w:multiLevelType w:val="hybridMultilevel"/>
    <w:tmpl w:val="968C00D4"/>
    <w:lvl w:ilvl="0" w:tplc="3ECA323E">
      <w:start w:val="1"/>
      <w:numFmt w:val="bullet"/>
      <w:lvlText w:val="•"/>
      <w:lvlJc w:val="left"/>
      <w:pPr>
        <w:ind w:left="420" w:hanging="260"/>
      </w:pPr>
    </w:lvl>
    <w:lvl w:ilvl="1" w:tplc="E97E2120">
      <w:start w:val="1"/>
      <w:numFmt w:val="bullet"/>
      <w:lvlText w:val="◦"/>
      <w:lvlJc w:val="left"/>
      <w:pPr>
        <w:ind w:left="840" w:hanging="260"/>
      </w:pPr>
    </w:lvl>
    <w:lvl w:ilvl="2" w:tplc="0EE8173C">
      <w:numFmt w:val="decimal"/>
      <w:lvlText w:val=""/>
      <w:lvlJc w:val="left"/>
    </w:lvl>
    <w:lvl w:ilvl="3" w:tplc="C27A4F14">
      <w:numFmt w:val="decimal"/>
      <w:lvlText w:val=""/>
      <w:lvlJc w:val="left"/>
    </w:lvl>
    <w:lvl w:ilvl="4" w:tplc="4000C4D6">
      <w:numFmt w:val="decimal"/>
      <w:lvlText w:val=""/>
      <w:lvlJc w:val="left"/>
    </w:lvl>
    <w:lvl w:ilvl="5" w:tplc="F6C0B178">
      <w:numFmt w:val="decimal"/>
      <w:lvlText w:val=""/>
      <w:lvlJc w:val="left"/>
    </w:lvl>
    <w:lvl w:ilvl="6" w:tplc="E1283D3A">
      <w:numFmt w:val="decimal"/>
      <w:lvlText w:val=""/>
      <w:lvlJc w:val="left"/>
    </w:lvl>
    <w:lvl w:ilvl="7" w:tplc="588A0C82">
      <w:numFmt w:val="decimal"/>
      <w:lvlText w:val=""/>
      <w:lvlJc w:val="left"/>
    </w:lvl>
    <w:lvl w:ilvl="8" w:tplc="177A0642">
      <w:numFmt w:val="decimal"/>
      <w:lvlText w:val=""/>
      <w:lvlJc w:val="left"/>
    </w:lvl>
  </w:abstractNum>
  <w:abstractNum w:abstractNumId="2" w15:restartNumberingAfterBreak="0">
    <w:nsid w:val="1AB36D96"/>
    <w:multiLevelType w:val="hybridMultilevel"/>
    <w:tmpl w:val="CA46953E"/>
    <w:lvl w:ilvl="0" w:tplc="E32A4860">
      <w:start w:val="1"/>
      <w:numFmt w:val="bullet"/>
      <w:lvlText w:val="•"/>
      <w:lvlJc w:val="left"/>
      <w:pPr>
        <w:ind w:left="420" w:hanging="260"/>
      </w:pPr>
    </w:lvl>
    <w:lvl w:ilvl="1" w:tplc="FF5AA790">
      <w:start w:val="1"/>
      <w:numFmt w:val="bullet"/>
      <w:lvlText w:val="◦"/>
      <w:lvlJc w:val="left"/>
      <w:pPr>
        <w:ind w:left="840" w:hanging="260"/>
      </w:pPr>
    </w:lvl>
    <w:lvl w:ilvl="2" w:tplc="E2DE087C">
      <w:numFmt w:val="decimal"/>
      <w:lvlText w:val=""/>
      <w:lvlJc w:val="left"/>
    </w:lvl>
    <w:lvl w:ilvl="3" w:tplc="DE7CC6F0">
      <w:numFmt w:val="decimal"/>
      <w:lvlText w:val=""/>
      <w:lvlJc w:val="left"/>
    </w:lvl>
    <w:lvl w:ilvl="4" w:tplc="6EAC28DC">
      <w:numFmt w:val="decimal"/>
      <w:lvlText w:val=""/>
      <w:lvlJc w:val="left"/>
    </w:lvl>
    <w:lvl w:ilvl="5" w:tplc="09F2C77E">
      <w:numFmt w:val="decimal"/>
      <w:lvlText w:val=""/>
      <w:lvlJc w:val="left"/>
    </w:lvl>
    <w:lvl w:ilvl="6" w:tplc="9EBE701E">
      <w:numFmt w:val="decimal"/>
      <w:lvlText w:val=""/>
      <w:lvlJc w:val="left"/>
    </w:lvl>
    <w:lvl w:ilvl="7" w:tplc="B2C4B7D2">
      <w:numFmt w:val="decimal"/>
      <w:lvlText w:val=""/>
      <w:lvlJc w:val="left"/>
    </w:lvl>
    <w:lvl w:ilvl="8" w:tplc="6A2A55FA">
      <w:numFmt w:val="decimal"/>
      <w:lvlText w:val=""/>
      <w:lvlJc w:val="left"/>
    </w:lvl>
  </w:abstractNum>
  <w:abstractNum w:abstractNumId="3" w15:restartNumberingAfterBreak="0">
    <w:nsid w:val="200F0A95"/>
    <w:multiLevelType w:val="hybridMultilevel"/>
    <w:tmpl w:val="69BE274E"/>
    <w:lvl w:ilvl="0" w:tplc="5A1EB7FC">
      <w:start w:val="1"/>
      <w:numFmt w:val="bullet"/>
      <w:lvlText w:val="•"/>
      <w:lvlJc w:val="left"/>
      <w:pPr>
        <w:ind w:left="420" w:hanging="260"/>
      </w:pPr>
    </w:lvl>
    <w:lvl w:ilvl="1" w:tplc="D3200DFE">
      <w:start w:val="1"/>
      <w:numFmt w:val="bullet"/>
      <w:lvlText w:val="◦"/>
      <w:lvlJc w:val="left"/>
      <w:pPr>
        <w:ind w:left="840" w:hanging="260"/>
      </w:pPr>
    </w:lvl>
    <w:lvl w:ilvl="2" w:tplc="4BF8DBAE">
      <w:numFmt w:val="decimal"/>
      <w:lvlText w:val=""/>
      <w:lvlJc w:val="left"/>
    </w:lvl>
    <w:lvl w:ilvl="3" w:tplc="490474E8">
      <w:numFmt w:val="decimal"/>
      <w:lvlText w:val=""/>
      <w:lvlJc w:val="left"/>
    </w:lvl>
    <w:lvl w:ilvl="4" w:tplc="823CA8F8">
      <w:numFmt w:val="decimal"/>
      <w:lvlText w:val=""/>
      <w:lvlJc w:val="left"/>
    </w:lvl>
    <w:lvl w:ilvl="5" w:tplc="9EE2AAB0">
      <w:numFmt w:val="decimal"/>
      <w:lvlText w:val=""/>
      <w:lvlJc w:val="left"/>
    </w:lvl>
    <w:lvl w:ilvl="6" w:tplc="8C32E972">
      <w:numFmt w:val="decimal"/>
      <w:lvlText w:val=""/>
      <w:lvlJc w:val="left"/>
    </w:lvl>
    <w:lvl w:ilvl="7" w:tplc="75C2335C">
      <w:numFmt w:val="decimal"/>
      <w:lvlText w:val=""/>
      <w:lvlJc w:val="left"/>
    </w:lvl>
    <w:lvl w:ilvl="8" w:tplc="D3DA06A0">
      <w:numFmt w:val="decimal"/>
      <w:lvlText w:val=""/>
      <w:lvlJc w:val="left"/>
    </w:lvl>
  </w:abstractNum>
  <w:abstractNum w:abstractNumId="4" w15:restartNumberingAfterBreak="0">
    <w:nsid w:val="2D211465"/>
    <w:multiLevelType w:val="multilevel"/>
    <w:tmpl w:val="3BAC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E0B3F"/>
    <w:multiLevelType w:val="multilevel"/>
    <w:tmpl w:val="3B8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47A7C"/>
    <w:multiLevelType w:val="hybridMultilevel"/>
    <w:tmpl w:val="99560E58"/>
    <w:lvl w:ilvl="0" w:tplc="1D988FC2">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5A6068"/>
    <w:multiLevelType w:val="multilevel"/>
    <w:tmpl w:val="A110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91CB5"/>
    <w:multiLevelType w:val="hybridMultilevel"/>
    <w:tmpl w:val="3A0E851E"/>
    <w:lvl w:ilvl="0" w:tplc="AD34599C">
      <w:numFmt w:val="bullet"/>
      <w:lvlText w:val="-"/>
      <w:lvlJc w:val="left"/>
      <w:pPr>
        <w:ind w:left="360" w:hanging="360"/>
      </w:pPr>
      <w:rPr>
        <w:rFonts w:ascii="Book Antiqua" w:eastAsia="Times New Roman" w:hAnsi="Book Antiqu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53A529E"/>
    <w:multiLevelType w:val="hybridMultilevel"/>
    <w:tmpl w:val="67966AE2"/>
    <w:lvl w:ilvl="0" w:tplc="EB36FF1C">
      <w:start w:val="1"/>
      <w:numFmt w:val="bullet"/>
      <w:lvlText w:val="•"/>
      <w:lvlJc w:val="left"/>
      <w:pPr>
        <w:ind w:left="420" w:hanging="260"/>
      </w:pPr>
    </w:lvl>
    <w:lvl w:ilvl="1" w:tplc="71403822">
      <w:start w:val="1"/>
      <w:numFmt w:val="bullet"/>
      <w:lvlText w:val="◦"/>
      <w:lvlJc w:val="left"/>
      <w:pPr>
        <w:ind w:left="840" w:hanging="260"/>
      </w:pPr>
    </w:lvl>
    <w:lvl w:ilvl="2" w:tplc="E6A036C8">
      <w:numFmt w:val="decimal"/>
      <w:lvlText w:val=""/>
      <w:lvlJc w:val="left"/>
    </w:lvl>
    <w:lvl w:ilvl="3" w:tplc="EF4E0654">
      <w:numFmt w:val="decimal"/>
      <w:lvlText w:val=""/>
      <w:lvlJc w:val="left"/>
    </w:lvl>
    <w:lvl w:ilvl="4" w:tplc="FD0EA66E">
      <w:numFmt w:val="decimal"/>
      <w:lvlText w:val=""/>
      <w:lvlJc w:val="left"/>
    </w:lvl>
    <w:lvl w:ilvl="5" w:tplc="42FC1E00">
      <w:numFmt w:val="decimal"/>
      <w:lvlText w:val=""/>
      <w:lvlJc w:val="left"/>
    </w:lvl>
    <w:lvl w:ilvl="6" w:tplc="4516B540">
      <w:numFmt w:val="decimal"/>
      <w:lvlText w:val=""/>
      <w:lvlJc w:val="left"/>
    </w:lvl>
    <w:lvl w:ilvl="7" w:tplc="C9A68326">
      <w:numFmt w:val="decimal"/>
      <w:lvlText w:val=""/>
      <w:lvlJc w:val="left"/>
    </w:lvl>
    <w:lvl w:ilvl="8" w:tplc="DCDA1102">
      <w:numFmt w:val="decimal"/>
      <w:lvlText w:val=""/>
      <w:lvlJc w:val="left"/>
    </w:lvl>
  </w:abstractNum>
  <w:abstractNum w:abstractNumId="10" w15:restartNumberingAfterBreak="0">
    <w:nsid w:val="5B53392B"/>
    <w:multiLevelType w:val="multilevel"/>
    <w:tmpl w:val="E8F22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A31F4"/>
    <w:multiLevelType w:val="hybridMultilevel"/>
    <w:tmpl w:val="67083B52"/>
    <w:lvl w:ilvl="0" w:tplc="68E0DFF6">
      <w:numFmt w:val="bullet"/>
      <w:lvlText w:val="-"/>
      <w:lvlJc w:val="left"/>
      <w:pPr>
        <w:ind w:left="360" w:hanging="360"/>
      </w:pPr>
      <w:rPr>
        <w:rFonts w:ascii="Book Antiqua" w:eastAsia="Times New Roman" w:hAnsi="Book Antiqu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6E07776"/>
    <w:multiLevelType w:val="multilevel"/>
    <w:tmpl w:val="53B8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EB68D9"/>
    <w:multiLevelType w:val="hybridMultilevel"/>
    <w:tmpl w:val="4848810A"/>
    <w:lvl w:ilvl="0" w:tplc="D8B0572E">
      <w:start w:val="1"/>
      <w:numFmt w:val="bullet"/>
      <w:lvlText w:val="●"/>
      <w:lvlJc w:val="left"/>
      <w:pPr>
        <w:ind w:left="720" w:hanging="360"/>
      </w:pPr>
    </w:lvl>
    <w:lvl w:ilvl="1" w:tplc="E81643F8">
      <w:start w:val="1"/>
      <w:numFmt w:val="bullet"/>
      <w:lvlText w:val="○"/>
      <w:lvlJc w:val="left"/>
      <w:pPr>
        <w:ind w:left="1440" w:hanging="360"/>
      </w:pPr>
    </w:lvl>
    <w:lvl w:ilvl="2" w:tplc="0AEA289A">
      <w:start w:val="1"/>
      <w:numFmt w:val="bullet"/>
      <w:lvlText w:val="■"/>
      <w:lvlJc w:val="left"/>
      <w:pPr>
        <w:ind w:left="2160" w:hanging="360"/>
      </w:pPr>
    </w:lvl>
    <w:lvl w:ilvl="3" w:tplc="DEFC153E">
      <w:start w:val="1"/>
      <w:numFmt w:val="bullet"/>
      <w:lvlText w:val="●"/>
      <w:lvlJc w:val="left"/>
      <w:pPr>
        <w:ind w:left="2880" w:hanging="360"/>
      </w:pPr>
    </w:lvl>
    <w:lvl w:ilvl="4" w:tplc="3272A984">
      <w:start w:val="1"/>
      <w:numFmt w:val="bullet"/>
      <w:lvlText w:val="○"/>
      <w:lvlJc w:val="left"/>
      <w:pPr>
        <w:ind w:left="3600" w:hanging="360"/>
      </w:pPr>
    </w:lvl>
    <w:lvl w:ilvl="5" w:tplc="DFB83BD8">
      <w:start w:val="1"/>
      <w:numFmt w:val="bullet"/>
      <w:lvlText w:val="■"/>
      <w:lvlJc w:val="left"/>
      <w:pPr>
        <w:ind w:left="4320" w:hanging="360"/>
      </w:pPr>
    </w:lvl>
    <w:lvl w:ilvl="6" w:tplc="215E53BA">
      <w:start w:val="1"/>
      <w:numFmt w:val="bullet"/>
      <w:lvlText w:val="●"/>
      <w:lvlJc w:val="left"/>
      <w:pPr>
        <w:ind w:left="5040" w:hanging="360"/>
      </w:pPr>
    </w:lvl>
    <w:lvl w:ilvl="7" w:tplc="9744AC72">
      <w:start w:val="1"/>
      <w:numFmt w:val="bullet"/>
      <w:lvlText w:val="●"/>
      <w:lvlJc w:val="left"/>
      <w:pPr>
        <w:ind w:left="5760" w:hanging="360"/>
      </w:pPr>
    </w:lvl>
    <w:lvl w:ilvl="8" w:tplc="19C4FAF6">
      <w:start w:val="1"/>
      <w:numFmt w:val="bullet"/>
      <w:lvlText w:val="●"/>
      <w:lvlJc w:val="left"/>
      <w:pPr>
        <w:ind w:left="6480" w:hanging="360"/>
      </w:pPr>
    </w:lvl>
  </w:abstractNum>
  <w:num w:numId="1" w16cid:durableId="1088502285">
    <w:abstractNumId w:val="13"/>
    <w:lvlOverride w:ilvl="0">
      <w:startOverride w:val="1"/>
    </w:lvlOverride>
  </w:num>
  <w:num w:numId="2" w16cid:durableId="1417706238">
    <w:abstractNumId w:val="5"/>
  </w:num>
  <w:num w:numId="3" w16cid:durableId="1017464688">
    <w:abstractNumId w:val="7"/>
  </w:num>
  <w:num w:numId="4" w16cid:durableId="686717361">
    <w:abstractNumId w:val="12"/>
  </w:num>
  <w:num w:numId="5" w16cid:durableId="159202095">
    <w:abstractNumId w:val="10"/>
  </w:num>
  <w:num w:numId="6" w16cid:durableId="462234224">
    <w:abstractNumId w:val="4"/>
  </w:num>
  <w:num w:numId="7" w16cid:durableId="1198155308">
    <w:abstractNumId w:val="3"/>
    <w:lvlOverride w:ilvl="0">
      <w:startOverride w:val="1"/>
    </w:lvlOverride>
  </w:num>
  <w:num w:numId="8" w16cid:durableId="16467611">
    <w:abstractNumId w:val="2"/>
    <w:lvlOverride w:ilvl="0">
      <w:startOverride w:val="1"/>
    </w:lvlOverride>
  </w:num>
  <w:num w:numId="9" w16cid:durableId="175653447">
    <w:abstractNumId w:val="9"/>
    <w:lvlOverride w:ilvl="0">
      <w:startOverride w:val="1"/>
    </w:lvlOverride>
  </w:num>
  <w:num w:numId="10" w16cid:durableId="587233031">
    <w:abstractNumId w:val="1"/>
    <w:lvlOverride w:ilvl="0">
      <w:startOverride w:val="1"/>
    </w:lvlOverride>
  </w:num>
  <w:num w:numId="11" w16cid:durableId="2024014733">
    <w:abstractNumId w:val="0"/>
    <w:lvlOverride w:ilvl="0">
      <w:startOverride w:val="1"/>
    </w:lvlOverride>
  </w:num>
  <w:num w:numId="12" w16cid:durableId="81530725">
    <w:abstractNumId w:val="8"/>
  </w:num>
  <w:num w:numId="13" w16cid:durableId="829640685">
    <w:abstractNumId w:val="6"/>
  </w:num>
  <w:num w:numId="14" w16cid:durableId="1408111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BA"/>
    <w:rsid w:val="00027252"/>
    <w:rsid w:val="00055E2C"/>
    <w:rsid w:val="000578C6"/>
    <w:rsid w:val="000843C7"/>
    <w:rsid w:val="000B2B12"/>
    <w:rsid w:val="00112FAE"/>
    <w:rsid w:val="00145B41"/>
    <w:rsid w:val="00146612"/>
    <w:rsid w:val="00176586"/>
    <w:rsid w:val="001C4FDE"/>
    <w:rsid w:val="001E3AE0"/>
    <w:rsid w:val="001F57F4"/>
    <w:rsid w:val="00214A44"/>
    <w:rsid w:val="002D1984"/>
    <w:rsid w:val="002F1EB2"/>
    <w:rsid w:val="002F2656"/>
    <w:rsid w:val="00377061"/>
    <w:rsid w:val="00385DBB"/>
    <w:rsid w:val="003A13BA"/>
    <w:rsid w:val="0040479F"/>
    <w:rsid w:val="0041561A"/>
    <w:rsid w:val="00424DFA"/>
    <w:rsid w:val="004311C8"/>
    <w:rsid w:val="0044509F"/>
    <w:rsid w:val="004A02A8"/>
    <w:rsid w:val="00506907"/>
    <w:rsid w:val="005069D2"/>
    <w:rsid w:val="00553E78"/>
    <w:rsid w:val="005B7B25"/>
    <w:rsid w:val="005F257D"/>
    <w:rsid w:val="006255C9"/>
    <w:rsid w:val="006D0C85"/>
    <w:rsid w:val="006F2A5C"/>
    <w:rsid w:val="0071041B"/>
    <w:rsid w:val="00765AF1"/>
    <w:rsid w:val="00772E58"/>
    <w:rsid w:val="00784DB9"/>
    <w:rsid w:val="007B1F71"/>
    <w:rsid w:val="007F0DAD"/>
    <w:rsid w:val="008173E4"/>
    <w:rsid w:val="00875253"/>
    <w:rsid w:val="008C74FF"/>
    <w:rsid w:val="008D4B84"/>
    <w:rsid w:val="0090329F"/>
    <w:rsid w:val="00906845"/>
    <w:rsid w:val="009125EB"/>
    <w:rsid w:val="00936C03"/>
    <w:rsid w:val="0095490D"/>
    <w:rsid w:val="00977B83"/>
    <w:rsid w:val="00991E92"/>
    <w:rsid w:val="009B5F20"/>
    <w:rsid w:val="009D5C11"/>
    <w:rsid w:val="009E6D47"/>
    <w:rsid w:val="00A10DD7"/>
    <w:rsid w:val="00A25A33"/>
    <w:rsid w:val="00A84BF0"/>
    <w:rsid w:val="00AD7E37"/>
    <w:rsid w:val="00AF2EEF"/>
    <w:rsid w:val="00B46B68"/>
    <w:rsid w:val="00BB3A0D"/>
    <w:rsid w:val="00C604B1"/>
    <w:rsid w:val="00D1344D"/>
    <w:rsid w:val="00D2184E"/>
    <w:rsid w:val="00D3061A"/>
    <w:rsid w:val="00D62C21"/>
    <w:rsid w:val="00DD1705"/>
    <w:rsid w:val="00DF6131"/>
    <w:rsid w:val="00E319F8"/>
    <w:rsid w:val="00F2338D"/>
    <w:rsid w:val="00F25A1F"/>
    <w:rsid w:val="00F66006"/>
    <w:rsid w:val="00F9136E"/>
    <w:rsid w:val="00FA11E2"/>
    <w:rsid w:val="00FA137B"/>
    <w:rsid w:val="00FD4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80CB"/>
  <w15:docId w15:val="{CDBDADC1-2063-044B-8BCE-0AA489F3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link w:val="Titre1Car"/>
    <w:uiPriority w:val="9"/>
    <w:qFormat/>
    <w:pPr>
      <w:outlineLvl w:val="0"/>
    </w:pPr>
    <w:rPr>
      <w:color w:val="2E74B5"/>
      <w:sz w:val="32"/>
      <w:szCs w:val="32"/>
    </w:rPr>
  </w:style>
  <w:style w:type="paragraph" w:styleId="Titre2">
    <w:name w:val="heading 2"/>
    <w:uiPriority w:val="9"/>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Pieddepage">
    <w:name w:val="footer"/>
    <w:basedOn w:val="Normal"/>
    <w:link w:val="PieddepageCar"/>
    <w:uiPriority w:val="99"/>
    <w:unhideWhenUsed/>
    <w:rsid w:val="00214A44"/>
    <w:pPr>
      <w:tabs>
        <w:tab w:val="center" w:pos="4536"/>
        <w:tab w:val="right" w:pos="9072"/>
      </w:tabs>
    </w:pPr>
  </w:style>
  <w:style w:type="character" w:customStyle="1" w:styleId="PieddepageCar">
    <w:name w:val="Pied de page Car"/>
    <w:basedOn w:val="Policepardfaut"/>
    <w:link w:val="Pieddepage"/>
    <w:uiPriority w:val="99"/>
    <w:rsid w:val="00214A44"/>
  </w:style>
  <w:style w:type="character" w:styleId="Numrodepage">
    <w:name w:val="page number"/>
    <w:basedOn w:val="Policepardfaut"/>
    <w:uiPriority w:val="99"/>
    <w:semiHidden/>
    <w:unhideWhenUsed/>
    <w:rsid w:val="00214A44"/>
  </w:style>
  <w:style w:type="character" w:styleId="Marquedecommentaire">
    <w:name w:val="annotation reference"/>
    <w:basedOn w:val="Policepardfaut"/>
    <w:uiPriority w:val="99"/>
    <w:semiHidden/>
    <w:unhideWhenUsed/>
    <w:rsid w:val="00FD469F"/>
    <w:rPr>
      <w:sz w:val="16"/>
      <w:szCs w:val="16"/>
    </w:rPr>
  </w:style>
  <w:style w:type="paragraph" w:styleId="Commentaire">
    <w:name w:val="annotation text"/>
    <w:basedOn w:val="Normal"/>
    <w:link w:val="CommentaireCar"/>
    <w:uiPriority w:val="99"/>
    <w:semiHidden/>
    <w:unhideWhenUsed/>
    <w:rsid w:val="00FD469F"/>
  </w:style>
  <w:style w:type="character" w:customStyle="1" w:styleId="CommentaireCar">
    <w:name w:val="Commentaire Car"/>
    <w:basedOn w:val="Policepardfaut"/>
    <w:link w:val="Commentaire"/>
    <w:uiPriority w:val="99"/>
    <w:semiHidden/>
    <w:rsid w:val="00FD469F"/>
  </w:style>
  <w:style w:type="paragraph" w:styleId="Objetducommentaire">
    <w:name w:val="annotation subject"/>
    <w:basedOn w:val="Commentaire"/>
    <w:next w:val="Commentaire"/>
    <w:link w:val="ObjetducommentaireCar"/>
    <w:uiPriority w:val="99"/>
    <w:semiHidden/>
    <w:unhideWhenUsed/>
    <w:rsid w:val="00FD469F"/>
    <w:rPr>
      <w:b/>
      <w:bCs/>
    </w:rPr>
  </w:style>
  <w:style w:type="character" w:customStyle="1" w:styleId="ObjetducommentaireCar">
    <w:name w:val="Objet du commentaire Car"/>
    <w:basedOn w:val="CommentaireCar"/>
    <w:link w:val="Objetducommentaire"/>
    <w:uiPriority w:val="99"/>
    <w:semiHidden/>
    <w:rsid w:val="00FD469F"/>
    <w:rPr>
      <w:b/>
      <w:bCs/>
    </w:rPr>
  </w:style>
  <w:style w:type="paragraph" w:styleId="Rvision">
    <w:name w:val="Revision"/>
    <w:hidden/>
    <w:uiPriority w:val="99"/>
    <w:semiHidden/>
    <w:rsid w:val="004A02A8"/>
  </w:style>
  <w:style w:type="character" w:customStyle="1" w:styleId="Titre1Car">
    <w:name w:val="Titre 1 Car"/>
    <w:basedOn w:val="Policepardfaut"/>
    <w:link w:val="Titre1"/>
    <w:uiPriority w:val="9"/>
    <w:rsid w:val="00F2338D"/>
    <w:rPr>
      <w:color w:val="2E74B5"/>
      <w:sz w:val="32"/>
      <w:szCs w:val="32"/>
    </w:rPr>
  </w:style>
  <w:style w:type="character" w:styleId="Mentionnonrsolue">
    <w:name w:val="Unresolved Mention"/>
    <w:basedOn w:val="Policepardfaut"/>
    <w:uiPriority w:val="99"/>
    <w:semiHidden/>
    <w:unhideWhenUsed/>
    <w:rsid w:val="00772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ael.eismann@unicaen.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seignementsup-recherche.gouv.fr/fr/le-financement-doctoral-464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ovinar.kevonian@unicaen.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el.eismann@unicaen.fr" TargetMode="External"/><Relationship Id="rId4" Type="http://schemas.openxmlformats.org/officeDocument/2006/relationships/settings" Target="settings.xml"/><Relationship Id="rId9" Type="http://schemas.openxmlformats.org/officeDocument/2006/relationships/hyperlink" Target="mailto:dzovinar.kevonian@unicaen.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28DE0-9B7F-432A-B678-52E589DE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2479</Words>
  <Characters>13640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Annie Collin</cp:lastModifiedBy>
  <cp:revision>2</cp:revision>
  <dcterms:created xsi:type="dcterms:W3CDTF">2026-07-20T14:00:00Z</dcterms:created>
  <dcterms:modified xsi:type="dcterms:W3CDTF">2026-07-20T14:00:00Z</dcterms:modified>
</cp:coreProperties>
</file>